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A165F" w14:textId="6D238A1B" w:rsidR="008C7710" w:rsidRPr="008C7710" w:rsidRDefault="008C7710" w:rsidP="004945A1">
      <w:pPr>
        <w:jc w:val="both"/>
        <w:rPr>
          <w:b/>
          <w:bCs/>
        </w:rPr>
      </w:pPr>
      <w:r w:rsidRPr="008C7710">
        <w:rPr>
          <w:b/>
          <w:bCs/>
        </w:rPr>
        <w:t xml:space="preserve">Sample Requirements for the Yokogawa </w:t>
      </w:r>
      <w:r w:rsidR="00C11777">
        <w:rPr>
          <w:b/>
          <w:bCs/>
        </w:rPr>
        <w:t xml:space="preserve">Single </w:t>
      </w:r>
      <w:r w:rsidRPr="008C7710">
        <w:rPr>
          <w:b/>
          <w:bCs/>
        </w:rPr>
        <w:t>Cellome SS2000</w:t>
      </w:r>
    </w:p>
    <w:p w14:paraId="78962251" w14:textId="5777D7CA" w:rsidR="00564401" w:rsidRDefault="008C7710" w:rsidP="004945A1">
      <w:pPr>
        <w:jc w:val="both"/>
      </w:pPr>
      <w:r w:rsidRPr="008C7710">
        <w:t xml:space="preserve">The SEISMIC facility uses the </w:t>
      </w:r>
      <w:r w:rsidR="00C11777" w:rsidRPr="008C7710">
        <w:rPr>
          <w:b/>
          <w:bCs/>
        </w:rPr>
        <w:t xml:space="preserve">Yokogawa </w:t>
      </w:r>
      <w:r w:rsidR="00C11777">
        <w:rPr>
          <w:b/>
          <w:bCs/>
        </w:rPr>
        <w:t xml:space="preserve">Single </w:t>
      </w:r>
      <w:r w:rsidR="00C11777" w:rsidRPr="008C7710">
        <w:rPr>
          <w:b/>
          <w:bCs/>
        </w:rPr>
        <w:t>Cellome SS2000</w:t>
      </w:r>
      <w:r w:rsidR="00C11777" w:rsidRPr="002C4EC8">
        <w:t xml:space="preserve"> </w:t>
      </w:r>
      <w:hyperlink r:id="rId5" w:history="1">
        <w:r w:rsidR="004945A1" w:rsidRPr="009F197D">
          <w:rPr>
            <w:rStyle w:val="Hyperlink"/>
          </w:rPr>
          <w:t>https://www.kcl.ac.uk/research/facilities/equipment/yokogawa-single-cellome-system-2000</w:t>
        </w:r>
      </w:hyperlink>
      <w:r w:rsidR="002C4EC8" w:rsidRPr="002C4EC8">
        <w:t>)</w:t>
      </w:r>
      <w:r w:rsidRPr="008C7710">
        <w:t xml:space="preserve">, a high-precision </w:t>
      </w:r>
      <w:r w:rsidR="00A22FED">
        <w:t>platform for</w:t>
      </w:r>
      <w:r w:rsidRPr="008C7710">
        <w:t xml:space="preserve"> isolating </w:t>
      </w:r>
      <w:r w:rsidR="0012457F">
        <w:t xml:space="preserve">adherent </w:t>
      </w:r>
      <w:r w:rsidRPr="008C7710">
        <w:t>single cells and subcellular compartments into nanocapillary tips for downstream analysis.</w:t>
      </w:r>
      <w:r w:rsidR="00814894">
        <w:t xml:space="preserve"> </w:t>
      </w:r>
    </w:p>
    <w:p w14:paraId="05BA2F66" w14:textId="22B16078" w:rsidR="003F2393" w:rsidRPr="008C7710" w:rsidRDefault="003F2393" w:rsidP="004945A1">
      <w:pPr>
        <w:jc w:val="both"/>
      </w:pPr>
      <w:r w:rsidRPr="008C7710">
        <w:t xml:space="preserve">To ensure </w:t>
      </w:r>
      <w:r w:rsidR="00ED50AB">
        <w:t xml:space="preserve">optimal </w:t>
      </w:r>
      <w:r w:rsidR="00B73737">
        <w:t>cell picking</w:t>
      </w:r>
      <w:r w:rsidR="00C11777" w:rsidRPr="00ED50AB">
        <w:t xml:space="preserve">, </w:t>
      </w:r>
      <w:r w:rsidRPr="00ED50AB">
        <w:t>samples</w:t>
      </w:r>
      <w:r w:rsidRPr="008C7710">
        <w:t xml:space="preserve"> must meet the </w:t>
      </w:r>
      <w:r w:rsidR="008A47DE">
        <w:t xml:space="preserve">following </w:t>
      </w:r>
      <w:r>
        <w:t>criteria</w:t>
      </w:r>
      <w:r w:rsidR="00314858">
        <w:t>:</w:t>
      </w:r>
    </w:p>
    <w:p w14:paraId="0296CDE3" w14:textId="77777777" w:rsidR="00AF5008" w:rsidRPr="00AF5008" w:rsidRDefault="00AF5008" w:rsidP="00C11777">
      <w:pPr>
        <w:jc w:val="both"/>
        <w:rPr>
          <w:b/>
          <w:bCs/>
        </w:rPr>
      </w:pPr>
      <w:r w:rsidRPr="00AF5008">
        <w:rPr>
          <w:b/>
          <w:bCs/>
        </w:rPr>
        <w:t>Cell Adherence</w:t>
      </w:r>
    </w:p>
    <w:p w14:paraId="6E651D9B" w14:textId="27C94EC0" w:rsidR="00AF5008" w:rsidRDefault="00AF5008" w:rsidP="00C11777">
      <w:pPr>
        <w:jc w:val="both"/>
      </w:pPr>
      <w:r w:rsidRPr="00AF5008">
        <w:t xml:space="preserve">Cells must be naturally adherent or capable of being chemically induced to adhere (e.g., PMA activation for THP-1 </w:t>
      </w:r>
      <w:r w:rsidR="00F24F52">
        <w:t>macrophages</w:t>
      </w:r>
      <w:r w:rsidRPr="00AF5008">
        <w:t xml:space="preserve">). </w:t>
      </w:r>
    </w:p>
    <w:p w14:paraId="35717233" w14:textId="2B9E4C82" w:rsidR="00814894" w:rsidRPr="00AF5008" w:rsidRDefault="00814894" w:rsidP="00C11777">
      <w:pPr>
        <w:jc w:val="both"/>
      </w:pPr>
      <w:r>
        <w:t>F</w:t>
      </w:r>
      <w:r w:rsidRPr="008C7710">
        <w:t xml:space="preserve">or </w:t>
      </w:r>
      <w:r>
        <w:t>non-</w:t>
      </w:r>
      <w:r w:rsidRPr="008C7710">
        <w:t xml:space="preserve">adherent </w:t>
      </w:r>
      <w:r>
        <w:t xml:space="preserve">samples </w:t>
      </w:r>
      <w:r w:rsidRPr="008C7710">
        <w:t>or for workflows requiring higher flexibility in output formats</w:t>
      </w:r>
      <w:r>
        <w:t xml:space="preserve"> (e.g. 96-well plates)</w:t>
      </w:r>
      <w:r w:rsidRPr="008C7710">
        <w:t>,</w:t>
      </w:r>
      <w:r w:rsidR="00564401">
        <w:t xml:space="preserve"> please see </w:t>
      </w:r>
      <w:r w:rsidRPr="008C7710">
        <w:rPr>
          <w:b/>
          <w:bCs/>
        </w:rPr>
        <w:t>iotaSciences isoPick</w:t>
      </w:r>
      <w:r>
        <w:rPr>
          <w:b/>
          <w:bCs/>
        </w:rPr>
        <w:t xml:space="preserve"> </w:t>
      </w:r>
      <w:hyperlink r:id="rId6" w:history="1">
        <w:r w:rsidR="00AD4283" w:rsidRPr="009F197D">
          <w:rPr>
            <w:rStyle w:val="Hyperlink"/>
          </w:rPr>
          <w:t>https://www.kcl.ac.uk/research/facilities/equipment/iotasciences-isopick</w:t>
        </w:r>
      </w:hyperlink>
    </w:p>
    <w:p w14:paraId="42F75F20" w14:textId="77777777" w:rsidR="004F685A" w:rsidRPr="004F685A" w:rsidRDefault="004F685A" w:rsidP="00C11777">
      <w:pPr>
        <w:jc w:val="both"/>
        <w:rPr>
          <w:b/>
          <w:bCs/>
        </w:rPr>
      </w:pPr>
      <w:r w:rsidRPr="004F685A">
        <w:rPr>
          <w:b/>
          <w:bCs/>
        </w:rPr>
        <w:t>Sample Preparation Dishes</w:t>
      </w:r>
    </w:p>
    <w:p w14:paraId="1F3A63D6" w14:textId="177CE0C9" w:rsidR="00282BD6" w:rsidRPr="00282BD6" w:rsidRDefault="00EC5FD7" w:rsidP="00282BD6">
      <w:pPr>
        <w:jc w:val="both"/>
      </w:pPr>
      <w:r w:rsidRPr="00EC5FD7">
        <w:t>Samples must be prepared in Yokogawa Single Cellome SS2000</w:t>
      </w:r>
      <w:r w:rsidR="0061051A">
        <w:t xml:space="preserve"> </w:t>
      </w:r>
      <w:r w:rsidRPr="00EC5FD7">
        <w:t>compatible petri dishes</w:t>
      </w:r>
      <w:r w:rsidR="00413189">
        <w:t>. We typically use 35 mm dishes from ibidi:</w:t>
      </w:r>
      <w:r w:rsidR="00282BD6">
        <w:t xml:space="preserve"> </w:t>
      </w:r>
      <w:hyperlink r:id="rId7" w:history="1">
        <w:r w:rsidR="00282BD6" w:rsidRPr="00282BD6">
          <w:rPr>
            <w:rStyle w:val="Hyperlink"/>
          </w:rPr>
          <w:t>https://ibidi.com</w:t>
        </w:r>
        <w:r w:rsidR="00282BD6" w:rsidRPr="00282BD6">
          <w:rPr>
            <w:rStyle w:val="Hyperlink"/>
          </w:rPr>
          <w:t>/</w:t>
        </w:r>
        <w:r w:rsidR="00282BD6" w:rsidRPr="00282BD6">
          <w:rPr>
            <w:rStyle w:val="Hyperlink"/>
          </w:rPr>
          <w:t>35-mm-dishes/176--dish-35-mm-high-glass-bottom.html</w:t>
        </w:r>
      </w:hyperlink>
    </w:p>
    <w:p w14:paraId="03FCD789" w14:textId="1E14D70B" w:rsidR="00EC5FD7" w:rsidRDefault="00EC5FD7" w:rsidP="00C11777">
      <w:pPr>
        <w:jc w:val="both"/>
      </w:pPr>
    </w:p>
    <w:p w14:paraId="39F3ACB9" w14:textId="02760079" w:rsidR="00D538AE" w:rsidRPr="00D538AE" w:rsidRDefault="00D538AE" w:rsidP="00C11777">
      <w:pPr>
        <w:jc w:val="both"/>
        <w:rPr>
          <w:b/>
          <w:bCs/>
        </w:rPr>
      </w:pPr>
      <w:r w:rsidRPr="00D538AE">
        <w:rPr>
          <w:b/>
          <w:bCs/>
        </w:rPr>
        <w:t>Fluorescence Compatibility</w:t>
      </w:r>
    </w:p>
    <w:p w14:paraId="5435F738" w14:textId="6CA5B47A" w:rsidR="00D538AE" w:rsidRPr="00D538AE" w:rsidRDefault="00D538AE" w:rsidP="00C11777">
      <w:pPr>
        <w:jc w:val="both"/>
      </w:pPr>
      <w:r w:rsidRPr="00D538AE">
        <w:t>For experiments requiring identification of specific cell types, subpopulations, or subcellular regions, the following fluorescence channels</w:t>
      </w:r>
      <w:r w:rsidR="00C45E37">
        <w:t xml:space="preserve"> are supported</w:t>
      </w:r>
      <w:r w:rsidRPr="00D538AE">
        <w:t>:</w:t>
      </w:r>
    </w:p>
    <w:p w14:paraId="3559FA28" w14:textId="77777777" w:rsidR="00D538AE" w:rsidRPr="00ED50AB" w:rsidRDefault="00D538AE" w:rsidP="00C11777">
      <w:pPr>
        <w:numPr>
          <w:ilvl w:val="0"/>
          <w:numId w:val="1"/>
        </w:numPr>
        <w:jc w:val="both"/>
      </w:pPr>
      <w:r w:rsidRPr="00ED50AB">
        <w:t>Excitation: 405 nm, 488 nm, 561 nm, 640 nm</w:t>
      </w:r>
    </w:p>
    <w:p w14:paraId="57DEB010" w14:textId="77777777" w:rsidR="00D538AE" w:rsidRPr="00D538AE" w:rsidRDefault="00D538AE" w:rsidP="00C11777">
      <w:pPr>
        <w:numPr>
          <w:ilvl w:val="0"/>
          <w:numId w:val="1"/>
        </w:numPr>
        <w:jc w:val="both"/>
      </w:pPr>
      <w:r w:rsidRPr="00ED50AB">
        <w:t>Emission: BP447/60, BP525</w:t>
      </w:r>
      <w:r w:rsidRPr="00D538AE">
        <w:t>/50, BP617/73, BP685/40</w:t>
      </w:r>
    </w:p>
    <w:p w14:paraId="7AACBEB6" w14:textId="77777777" w:rsidR="00D538AE" w:rsidRPr="00D538AE" w:rsidRDefault="00D538AE" w:rsidP="00C11777">
      <w:pPr>
        <w:jc w:val="both"/>
        <w:rPr>
          <w:b/>
          <w:bCs/>
        </w:rPr>
      </w:pPr>
      <w:r w:rsidRPr="00D538AE">
        <w:rPr>
          <w:b/>
          <w:bCs/>
        </w:rPr>
        <w:t>Cell Viability</w:t>
      </w:r>
    </w:p>
    <w:p w14:paraId="501D44D3" w14:textId="1D0924BF" w:rsidR="00D538AE" w:rsidRPr="00D538AE" w:rsidRDefault="00D538AE" w:rsidP="00C11777">
      <w:pPr>
        <w:jc w:val="both"/>
      </w:pPr>
      <w:r w:rsidRPr="00D538AE">
        <w:t>Only live</w:t>
      </w:r>
      <w:r w:rsidR="0012210B">
        <w:t xml:space="preserve"> </w:t>
      </w:r>
      <w:r w:rsidRPr="00D538AE">
        <w:t xml:space="preserve">cells can be processed. Fixed or chemically preserved samples are not compatible with the </w:t>
      </w:r>
      <w:r>
        <w:t xml:space="preserve">Yokogawa SS2000 </w:t>
      </w:r>
      <w:r w:rsidRPr="00D538AE">
        <w:t>Cellome system.</w:t>
      </w:r>
    </w:p>
    <w:p w14:paraId="241B2189" w14:textId="77777777" w:rsidR="00AC40C6" w:rsidRPr="00AC40C6" w:rsidRDefault="00AC40C6" w:rsidP="00C11777">
      <w:pPr>
        <w:jc w:val="both"/>
        <w:rPr>
          <w:b/>
          <w:bCs/>
        </w:rPr>
      </w:pPr>
      <w:r w:rsidRPr="00AC40C6">
        <w:rPr>
          <w:b/>
          <w:bCs/>
        </w:rPr>
        <w:t>Biosafety Requirements</w:t>
      </w:r>
    </w:p>
    <w:p w14:paraId="5531EA1D" w14:textId="0FE7EFF6" w:rsidR="00111F4D" w:rsidRDefault="00111F4D" w:rsidP="00C11777">
      <w:pPr>
        <w:jc w:val="both"/>
      </w:pPr>
      <w:r>
        <w:t xml:space="preserve">All biological samples must be Hazard Group 2 or lower and suitable for handling under containment Level 2 conditions. </w:t>
      </w:r>
    </w:p>
    <w:p w14:paraId="3BDAB6F6" w14:textId="4F56EF94" w:rsidR="00AC40C6" w:rsidRPr="00AC40C6" w:rsidRDefault="00AC40C6" w:rsidP="00C11777">
      <w:pPr>
        <w:jc w:val="both"/>
        <w:rPr>
          <w:b/>
          <w:bCs/>
        </w:rPr>
      </w:pPr>
      <w:r w:rsidRPr="00AC40C6">
        <w:rPr>
          <w:b/>
          <w:bCs/>
        </w:rPr>
        <w:t>Cell Density Guidelines</w:t>
      </w:r>
    </w:p>
    <w:p w14:paraId="3CA017B9" w14:textId="7C457DC6" w:rsidR="005E17B0" w:rsidRDefault="00AC40C6" w:rsidP="005E17B0">
      <w:pPr>
        <w:jc w:val="both"/>
      </w:pPr>
      <w:r w:rsidRPr="00AC40C6">
        <w:t xml:space="preserve">We will work collaboratively with each </w:t>
      </w:r>
      <w:r w:rsidR="00752FDA">
        <w:t>use</w:t>
      </w:r>
      <w:r w:rsidRPr="00AC40C6">
        <w:t>r to determine the ideal density</w:t>
      </w:r>
      <w:r w:rsidR="00E84A25">
        <w:t xml:space="preserve"> by </w:t>
      </w:r>
      <w:r w:rsidRPr="00AC40C6">
        <w:t>balancing</w:t>
      </w:r>
      <w:r w:rsidR="00C922CA">
        <w:t xml:space="preserve"> </w:t>
      </w:r>
      <w:r w:rsidRPr="00AC40C6">
        <w:t xml:space="preserve">availability of </w:t>
      </w:r>
      <w:r w:rsidR="00E84A25">
        <w:t xml:space="preserve">sample </w:t>
      </w:r>
      <w:r w:rsidRPr="00AC40C6">
        <w:t>material</w:t>
      </w:r>
      <w:r w:rsidR="00C922CA">
        <w:t xml:space="preserve">, </w:t>
      </w:r>
      <w:r w:rsidRPr="00AC40C6">
        <w:t>cell morphology and size</w:t>
      </w:r>
      <w:r w:rsidR="00C922CA">
        <w:t xml:space="preserve">, and </w:t>
      </w:r>
      <w:r w:rsidRPr="00AC40C6">
        <w:t xml:space="preserve">minimum requirements for </w:t>
      </w:r>
      <w:r w:rsidRPr="00AC40C6">
        <w:lastRenderedPageBreak/>
        <w:t>robust picking</w:t>
      </w:r>
      <w:r w:rsidR="00C922CA">
        <w:t>.</w:t>
      </w:r>
      <w:r w:rsidR="005E17B0">
        <w:t xml:space="preserve"> </w:t>
      </w:r>
      <w:r w:rsidR="005E17B0" w:rsidRPr="00AC40C6">
        <w:t xml:space="preserve">For reference, THP-1 cells (~20 μm) perform well at 250,000–500,000 cells per dish. </w:t>
      </w:r>
    </w:p>
    <w:p w14:paraId="75122040" w14:textId="64BAE1AE" w:rsidR="00AC40C6" w:rsidRPr="00AC40C6" w:rsidRDefault="00AC40C6" w:rsidP="00C922CA">
      <w:pPr>
        <w:jc w:val="both"/>
      </w:pPr>
    </w:p>
    <w:p w14:paraId="4B222DD5" w14:textId="77777777" w:rsidR="00845FB6" w:rsidRPr="00845FB6" w:rsidRDefault="00845FB6" w:rsidP="00C11777">
      <w:pPr>
        <w:jc w:val="both"/>
        <w:rPr>
          <w:b/>
          <w:bCs/>
        </w:rPr>
      </w:pPr>
      <w:r w:rsidRPr="00845FB6">
        <w:rPr>
          <w:b/>
          <w:bCs/>
        </w:rPr>
        <w:t>Media Used During Picking</w:t>
      </w:r>
    </w:p>
    <w:p w14:paraId="79451D2A" w14:textId="61E5826A" w:rsidR="00845FB6" w:rsidRPr="00845FB6" w:rsidRDefault="00845FB6" w:rsidP="00C11777">
      <w:pPr>
        <w:jc w:val="both"/>
      </w:pPr>
      <w:r w:rsidRPr="00845FB6">
        <w:t xml:space="preserve">During picking, cells </w:t>
      </w:r>
      <w:r w:rsidR="008C2290">
        <w:t>should be</w:t>
      </w:r>
      <w:r w:rsidRPr="00845FB6">
        <w:t xml:space="preserve"> maintained in </w:t>
      </w:r>
      <w:r w:rsidRPr="00845FB6">
        <w:rPr>
          <w:b/>
          <w:bCs/>
        </w:rPr>
        <w:t>2 mL</w:t>
      </w:r>
      <w:r w:rsidRPr="00845FB6">
        <w:t xml:space="preserve"> of compatible media. Common options include:</w:t>
      </w:r>
    </w:p>
    <w:p w14:paraId="6B7CDDD3" w14:textId="14F55F2C" w:rsidR="00845FB6" w:rsidRPr="00845FB6" w:rsidRDefault="00B01B4E" w:rsidP="00C11777">
      <w:pPr>
        <w:numPr>
          <w:ilvl w:val="0"/>
          <w:numId w:val="3"/>
        </w:numPr>
        <w:jc w:val="both"/>
      </w:pPr>
      <w:r w:rsidRPr="00B01B4E">
        <w:t>Dulbecco′s Phosphate Buffered Saline</w:t>
      </w:r>
      <w:r>
        <w:t xml:space="preserve"> </w:t>
      </w:r>
      <w:r w:rsidR="00845FB6" w:rsidRPr="00845FB6">
        <w:t>+ Mg</w:t>
      </w:r>
      <w:r>
        <w:t xml:space="preserve"> &amp; </w:t>
      </w:r>
      <w:r w:rsidR="00845FB6" w:rsidRPr="00845FB6">
        <w:t>Ca</w:t>
      </w:r>
      <w:r>
        <w:rPr>
          <w:rFonts w:ascii="Aptos" w:hAnsi="Aptos" w:cs="Aptos"/>
        </w:rPr>
        <w:t xml:space="preserve"> </w:t>
      </w:r>
      <w:r w:rsidR="00845FB6" w:rsidRPr="00845FB6">
        <w:t>(metabolomics)</w:t>
      </w:r>
      <w:r w:rsidR="00E84A25">
        <w:t>.</w:t>
      </w:r>
    </w:p>
    <w:p w14:paraId="3056D460" w14:textId="6BDBF149" w:rsidR="00845FB6" w:rsidRPr="00845FB6" w:rsidRDefault="00845FB6" w:rsidP="00C11777">
      <w:pPr>
        <w:numPr>
          <w:ilvl w:val="0"/>
          <w:numId w:val="3"/>
        </w:numPr>
        <w:jc w:val="both"/>
      </w:pPr>
      <w:r w:rsidRPr="00845FB6">
        <w:t>FBS-free culture media (lipidomics)</w:t>
      </w:r>
      <w:r w:rsidR="00E84A25">
        <w:t>.</w:t>
      </w:r>
    </w:p>
    <w:p w14:paraId="121A9146" w14:textId="151A848A" w:rsidR="00814894" w:rsidRDefault="00845FB6" w:rsidP="008F4E89">
      <w:pPr>
        <w:jc w:val="both"/>
      </w:pPr>
      <w:r w:rsidRPr="00845FB6">
        <w:t>Other formulations may be used following discussion to support specific downstream analytical workflows.</w:t>
      </w:r>
      <w:r w:rsidR="00E84A25">
        <w:t xml:space="preserve"> </w:t>
      </w:r>
    </w:p>
    <w:p w14:paraId="5FD2F70E" w14:textId="5251BEDF" w:rsidR="007F3EE0" w:rsidRPr="007F3EE0" w:rsidRDefault="007F3EE0" w:rsidP="008F4E89">
      <w:pPr>
        <w:jc w:val="both"/>
        <w:rPr>
          <w:b/>
          <w:bCs/>
        </w:rPr>
      </w:pPr>
      <w:r w:rsidRPr="007F3EE0">
        <w:rPr>
          <w:b/>
          <w:bCs/>
        </w:rPr>
        <w:t>Further information</w:t>
      </w:r>
    </w:p>
    <w:p w14:paraId="35C668FD" w14:textId="42F52440" w:rsidR="008F4E89" w:rsidRPr="008C7710" w:rsidRDefault="008F4E89" w:rsidP="008F4E89">
      <w:pPr>
        <w:jc w:val="both"/>
      </w:pPr>
      <w:r w:rsidRPr="00533844">
        <w:t xml:space="preserve">For </w:t>
      </w:r>
      <w:r>
        <w:t xml:space="preserve">further </w:t>
      </w:r>
      <w:r w:rsidR="007F3EE0">
        <w:t>information</w:t>
      </w:r>
      <w:r w:rsidRPr="00533844">
        <w:t xml:space="preserve"> regarding sample compatibility or preparation, please contact us by email</w:t>
      </w:r>
      <w:r>
        <w:t xml:space="preserve"> – </w:t>
      </w:r>
      <w:hyperlink r:id="rId8" w:history="1">
        <w:r w:rsidRPr="009F197D">
          <w:rPr>
            <w:rStyle w:val="Hyperlink"/>
          </w:rPr>
          <w:t>SEISMIC@kcl.ac.uk</w:t>
        </w:r>
      </w:hyperlink>
      <w:r>
        <w:t xml:space="preserve"> - </w:t>
      </w:r>
      <w:r w:rsidRPr="00533844">
        <w:t xml:space="preserve">and </w:t>
      </w:r>
      <w:r>
        <w:t>our team</w:t>
      </w:r>
      <w:r w:rsidRPr="00533844">
        <w:t xml:space="preserve"> will be happy to </w:t>
      </w:r>
      <w:r w:rsidR="000F3528">
        <w:t>advise.</w:t>
      </w:r>
    </w:p>
    <w:p w14:paraId="24B79964" w14:textId="77777777" w:rsidR="00AF5008" w:rsidRDefault="00AF5008" w:rsidP="00C11777">
      <w:pPr>
        <w:jc w:val="both"/>
      </w:pPr>
    </w:p>
    <w:sectPr w:rsidR="00AF50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005BCD"/>
    <w:multiLevelType w:val="multilevel"/>
    <w:tmpl w:val="38A8E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910861"/>
    <w:multiLevelType w:val="multilevel"/>
    <w:tmpl w:val="58144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477919"/>
    <w:multiLevelType w:val="multilevel"/>
    <w:tmpl w:val="1CBCD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3167950">
    <w:abstractNumId w:val="0"/>
  </w:num>
  <w:num w:numId="2" w16cid:durableId="1592474290">
    <w:abstractNumId w:val="2"/>
  </w:num>
  <w:num w:numId="3" w16cid:durableId="12427897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B6E"/>
    <w:rsid w:val="00085E5A"/>
    <w:rsid w:val="000E65C3"/>
    <w:rsid w:val="000F3528"/>
    <w:rsid w:val="00111F4D"/>
    <w:rsid w:val="0012210B"/>
    <w:rsid w:val="0012457F"/>
    <w:rsid w:val="001527E3"/>
    <w:rsid w:val="002427FF"/>
    <w:rsid w:val="00282BD6"/>
    <w:rsid w:val="00286EF3"/>
    <w:rsid w:val="002C4EC8"/>
    <w:rsid w:val="00314858"/>
    <w:rsid w:val="003503C3"/>
    <w:rsid w:val="00350A4D"/>
    <w:rsid w:val="003D0C0A"/>
    <w:rsid w:val="003F2393"/>
    <w:rsid w:val="00413189"/>
    <w:rsid w:val="004945A1"/>
    <w:rsid w:val="004A2BD9"/>
    <w:rsid w:val="004F685A"/>
    <w:rsid w:val="00533844"/>
    <w:rsid w:val="00564401"/>
    <w:rsid w:val="00587F01"/>
    <w:rsid w:val="005E17B0"/>
    <w:rsid w:val="0061051A"/>
    <w:rsid w:val="00712604"/>
    <w:rsid w:val="00745C9C"/>
    <w:rsid w:val="00752FDA"/>
    <w:rsid w:val="00792359"/>
    <w:rsid w:val="007F3EE0"/>
    <w:rsid w:val="00814894"/>
    <w:rsid w:val="00845FB6"/>
    <w:rsid w:val="008A47DE"/>
    <w:rsid w:val="008C2290"/>
    <w:rsid w:val="008C7710"/>
    <w:rsid w:val="008E6875"/>
    <w:rsid w:val="008F4E89"/>
    <w:rsid w:val="00913B2E"/>
    <w:rsid w:val="00926901"/>
    <w:rsid w:val="00977853"/>
    <w:rsid w:val="009A3B10"/>
    <w:rsid w:val="009A3EA0"/>
    <w:rsid w:val="009E2201"/>
    <w:rsid w:val="00A22FED"/>
    <w:rsid w:val="00A44A23"/>
    <w:rsid w:val="00AC40C6"/>
    <w:rsid w:val="00AD4283"/>
    <w:rsid w:val="00AF5008"/>
    <w:rsid w:val="00B01B4E"/>
    <w:rsid w:val="00B15A8A"/>
    <w:rsid w:val="00B4092A"/>
    <w:rsid w:val="00B73737"/>
    <w:rsid w:val="00B7797F"/>
    <w:rsid w:val="00C11777"/>
    <w:rsid w:val="00C44B6E"/>
    <w:rsid w:val="00C45E37"/>
    <w:rsid w:val="00C922CA"/>
    <w:rsid w:val="00D538AE"/>
    <w:rsid w:val="00E125BF"/>
    <w:rsid w:val="00E84A25"/>
    <w:rsid w:val="00EC5FD7"/>
    <w:rsid w:val="00ED50AB"/>
    <w:rsid w:val="00F24F52"/>
    <w:rsid w:val="00F62421"/>
    <w:rsid w:val="00FC3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0D958"/>
  <w15:chartTrackingRefBased/>
  <w15:docId w15:val="{9703C947-42CC-4983-85D0-817C878A2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4B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4B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4B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4B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4B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4B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4B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4B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4B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4B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4B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4B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4B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4B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4B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4B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4B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4B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4B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4B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4B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4B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4B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4B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4B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4B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4B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4B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4B6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945A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45A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82BD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ISMIC@kcl.ac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bidi.com/35-mm-dishes/176--dish-35-mm-high-glass-bottom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cl.ac.uk/research/facilities/equipment/iotasciences-isopick" TargetMode="External"/><Relationship Id="rId5" Type="http://schemas.openxmlformats.org/officeDocument/2006/relationships/hyperlink" Target="https://www.kcl.ac.uk/research/facilities/equipment/yokogawa-single-cellome-system-200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352</Words>
  <Characters>2347</Characters>
  <Application>Microsoft Office Word</Application>
  <DocSecurity>0</DocSecurity>
  <Lines>48</Lines>
  <Paragraphs>32</Paragraphs>
  <ScaleCrop>false</ScaleCrop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Davison</dc:creator>
  <cp:keywords/>
  <dc:description/>
  <cp:lastModifiedBy>Melanie Bailey</cp:lastModifiedBy>
  <cp:revision>4</cp:revision>
  <dcterms:created xsi:type="dcterms:W3CDTF">2025-11-14T15:11:00Z</dcterms:created>
  <dcterms:modified xsi:type="dcterms:W3CDTF">2025-11-14T15:15:00Z</dcterms:modified>
</cp:coreProperties>
</file>