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120370317"/>
        <w:docPartObj>
          <w:docPartGallery w:val="Cover Pages"/>
          <w:docPartUnique/>
        </w:docPartObj>
      </w:sdtPr>
      <w:sdtEndPr/>
      <w:sdtContent>
        <w:p w14:paraId="62305D0E" w14:textId="412197F1" w:rsidR="00170D8D" w:rsidRDefault="00170D8D">
          <w:r>
            <w:rPr>
              <w:noProof/>
              <w:lang w:eastAsia="en-GB"/>
            </w:rPr>
            <mc:AlternateContent>
              <mc:Choice Requires="wpg">
                <w:drawing>
                  <wp:anchor distT="0" distB="0" distL="114300" distR="114300" simplePos="0" relativeHeight="251666944" behindDoc="0" locked="0" layoutInCell="1" allowOverlap="1" wp14:anchorId="746EBA80" wp14:editId="56F5A73A">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5A40A59" id="Group 149" o:spid="_x0000_s1026" style="position:absolute;margin-left:0;margin-top:0;width:8in;height:95.7pt;z-index:25166694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3" o:title="" recolor="t" rotate="t" type="frame"/>
                    </v:rect>
                    <w10:wrap anchorx="page" anchory="page"/>
                  </v:group>
                </w:pict>
              </mc:Fallback>
            </mc:AlternateContent>
          </w:r>
          <w:r>
            <w:rPr>
              <w:noProof/>
              <w:lang w:eastAsia="en-GB"/>
            </w:rPr>
            <mc:AlternateContent>
              <mc:Choice Requires="wps">
                <w:drawing>
                  <wp:anchor distT="0" distB="0" distL="114300" distR="114300" simplePos="0" relativeHeight="251664896" behindDoc="0" locked="0" layoutInCell="1" allowOverlap="1" wp14:anchorId="291D371C" wp14:editId="60D7FB3F">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2EC4E9D6" w14:textId="7EB919C2" w:rsidR="00832F9E" w:rsidRDefault="00832F9E">
                                    <w:pPr>
                                      <w:pStyle w:val="NoSpacing"/>
                                      <w:jc w:val="right"/>
                                      <w:rPr>
                                        <w:color w:val="595959" w:themeColor="text1" w:themeTint="A6"/>
                                        <w:sz w:val="28"/>
                                        <w:szCs w:val="28"/>
                                      </w:rPr>
                                    </w:pPr>
                                    <w:r>
                                      <w:rPr>
                                        <w:color w:val="595959" w:themeColor="text1" w:themeTint="A6"/>
                                        <w:sz w:val="28"/>
                                        <w:szCs w:val="28"/>
                                        <w:lang w:val="en-GB"/>
                                      </w:rPr>
                                      <w:t>King's College London</w:t>
                                    </w:r>
                                  </w:p>
                                </w:sdtContent>
                              </w:sdt>
                              <w:p w14:paraId="534B8F75" w14:textId="2382B7FE" w:rsidR="00832F9E" w:rsidRDefault="00080706">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832F9E">
                                      <w:rPr>
                                        <w:color w:val="595959" w:themeColor="text1" w:themeTint="A6"/>
                                        <w:sz w:val="18"/>
                                        <w:szCs w:val="18"/>
                                      </w:rPr>
                                      <w:t>Sustainability@kcl.ac.uk</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91D371C" id="_x0000_t202" coordsize="21600,21600" o:spt="202" path="m,l,21600r21600,l21600,xe">
                    <v:stroke joinstyle="miter"/>
                    <v:path gradientshapeok="t" o:connecttype="rect"/>
                  </v:shapetype>
                  <v:shape id="Text Box 152" o:spid="_x0000_s1026" type="#_x0000_t202" style="position:absolute;margin-left:0;margin-top:0;width:8in;height:1in;z-index:251664896;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2EC4E9D6" w14:textId="7EB919C2" w:rsidR="00832F9E" w:rsidRDefault="00832F9E">
                              <w:pPr>
                                <w:pStyle w:val="NoSpacing"/>
                                <w:jc w:val="right"/>
                                <w:rPr>
                                  <w:color w:val="595959" w:themeColor="text1" w:themeTint="A6"/>
                                  <w:sz w:val="28"/>
                                  <w:szCs w:val="28"/>
                                </w:rPr>
                              </w:pPr>
                              <w:r>
                                <w:rPr>
                                  <w:color w:val="595959" w:themeColor="text1" w:themeTint="A6"/>
                                  <w:sz w:val="28"/>
                                  <w:szCs w:val="28"/>
                                  <w:lang w:val="en-GB"/>
                                </w:rPr>
                                <w:t>King's College London</w:t>
                              </w:r>
                            </w:p>
                          </w:sdtContent>
                        </w:sdt>
                        <w:p w14:paraId="534B8F75" w14:textId="2382B7FE" w:rsidR="00832F9E" w:rsidRDefault="00D658EB">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832F9E">
                                <w:rPr>
                                  <w:color w:val="595959" w:themeColor="text1" w:themeTint="A6"/>
                                  <w:sz w:val="18"/>
                                  <w:szCs w:val="18"/>
                                </w:rPr>
                                <w:t>Sustainability@kcl.ac.uk</w:t>
                              </w:r>
                            </w:sdtContent>
                          </w:sdt>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5920" behindDoc="0" locked="0" layoutInCell="1" allowOverlap="1" wp14:anchorId="58CE8411" wp14:editId="05AD5466">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i/>
                                    <w:color w:val="404040" w:themeColor="text1" w:themeTint="BF"/>
                                    <w:sz w:val="36"/>
                                    <w:szCs w:val="36"/>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74F1C377" w14:textId="5E15533A" w:rsidR="00832F9E" w:rsidRPr="00295CB3" w:rsidRDefault="00832F9E" w:rsidP="00295CB3">
                                    <w:pPr>
                                      <w:pStyle w:val="NoSpacing"/>
                                      <w:jc w:val="right"/>
                                      <w:rPr>
                                        <w:i/>
                                        <w:color w:val="595959" w:themeColor="text1" w:themeTint="A6"/>
                                        <w:sz w:val="20"/>
                                        <w:szCs w:val="20"/>
                                      </w:rPr>
                                    </w:pPr>
                                    <w:r w:rsidRPr="00295CB3">
                                      <w:rPr>
                                        <w:i/>
                                        <w:color w:val="404040" w:themeColor="text1" w:themeTint="BF"/>
                                        <w:sz w:val="36"/>
                                        <w:szCs w:val="36"/>
                                      </w:rPr>
                                      <w:t>Outlining progress</w:t>
                                    </w:r>
                                    <w:r>
                                      <w:rPr>
                                        <w:i/>
                                        <w:color w:val="404040" w:themeColor="text1" w:themeTint="BF"/>
                                        <w:sz w:val="36"/>
                                        <w:szCs w:val="36"/>
                                      </w:rPr>
                                      <w:t xml:space="preserve"> during 2015/16</w:t>
                                    </w:r>
                                    <w:r w:rsidRPr="00295CB3">
                                      <w:rPr>
                                        <w:i/>
                                        <w:color w:val="404040" w:themeColor="text1" w:themeTint="BF"/>
                                        <w:sz w:val="36"/>
                                        <w:szCs w:val="36"/>
                                      </w:rPr>
                                      <w:t xml:space="preserve"> against our target to achieve a 43% reduction in Scope 1 &amp; 2 carbon emissions by 2019/20 against a 2005/06 baseline.</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8CE8411" id="Text Box 153" o:spid="_x0000_s1027" type="#_x0000_t202" style="position:absolute;margin-left:0;margin-top:0;width:8in;height:79.5pt;z-index:25166592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sdt>
                          <w:sdtPr>
                            <w:rPr>
                              <w:i/>
                              <w:color w:val="404040" w:themeColor="text1" w:themeTint="BF"/>
                              <w:sz w:val="36"/>
                              <w:szCs w:val="36"/>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74F1C377" w14:textId="5E15533A" w:rsidR="00832F9E" w:rsidRPr="00295CB3" w:rsidRDefault="00832F9E" w:rsidP="00295CB3">
                              <w:pPr>
                                <w:pStyle w:val="NoSpacing"/>
                                <w:jc w:val="right"/>
                                <w:rPr>
                                  <w:i/>
                                  <w:color w:val="595959" w:themeColor="text1" w:themeTint="A6"/>
                                  <w:sz w:val="20"/>
                                  <w:szCs w:val="20"/>
                                </w:rPr>
                              </w:pPr>
                              <w:r w:rsidRPr="00295CB3">
                                <w:rPr>
                                  <w:i/>
                                  <w:color w:val="404040" w:themeColor="text1" w:themeTint="BF"/>
                                  <w:sz w:val="36"/>
                                  <w:szCs w:val="36"/>
                                </w:rPr>
                                <w:t>Outlining progress</w:t>
                              </w:r>
                              <w:r>
                                <w:rPr>
                                  <w:i/>
                                  <w:color w:val="404040" w:themeColor="text1" w:themeTint="BF"/>
                                  <w:sz w:val="36"/>
                                  <w:szCs w:val="36"/>
                                </w:rPr>
                                <w:t xml:space="preserve"> during 2015/16</w:t>
                              </w:r>
                              <w:r w:rsidRPr="00295CB3">
                                <w:rPr>
                                  <w:i/>
                                  <w:color w:val="404040" w:themeColor="text1" w:themeTint="BF"/>
                                  <w:sz w:val="36"/>
                                  <w:szCs w:val="36"/>
                                </w:rPr>
                                <w:t xml:space="preserve"> against our target to achieve a 43% reduction in Scope 1 &amp; 2 carbon emissions by 2019/20 against a 2005/06 baseline.</w:t>
                              </w:r>
                            </w:p>
                          </w:sdtContent>
                        </w:sdt>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3872" behindDoc="0" locked="0" layoutInCell="1" allowOverlap="1" wp14:anchorId="658B86D3" wp14:editId="34C02837">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C64F59" w14:textId="294C3F62" w:rsidR="00832F9E" w:rsidRDefault="00080706">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832F9E" w:rsidRPr="00170D8D">
                                      <w:rPr>
                                        <w:caps/>
                                        <w:color w:val="4F81BD" w:themeColor="accent1"/>
                                        <w:sz w:val="64"/>
                                        <w:szCs w:val="64"/>
                                      </w:rPr>
                                      <w:t>King’s College London Carbon Management Plan update</w:t>
                                    </w:r>
                                  </w:sdtContent>
                                </w:sdt>
                                <w:r w:rsidR="00832F9E">
                                  <w:rPr>
                                    <w:caps/>
                                    <w:color w:val="4F81BD" w:themeColor="accent1"/>
                                    <w:sz w:val="64"/>
                                    <w:szCs w:val="64"/>
                                  </w:rPr>
                                  <w:t xml:space="preserve"> 2014/15</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58B86D3" id="Text Box 154" o:spid="_x0000_s1028" type="#_x0000_t202" style="position:absolute;margin-left:0;margin-top:0;width:8in;height:286.5pt;z-index:251663872;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54C64F59" w14:textId="294C3F62" w:rsidR="00832F9E" w:rsidRDefault="00D658EB">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832F9E" w:rsidRPr="00170D8D">
                                <w:rPr>
                                  <w:caps/>
                                  <w:color w:val="4F81BD" w:themeColor="accent1"/>
                                  <w:sz w:val="64"/>
                                  <w:szCs w:val="64"/>
                                </w:rPr>
                                <w:t>King’s College London Carbon Management Plan update</w:t>
                              </w:r>
                            </w:sdtContent>
                          </w:sdt>
                          <w:r w:rsidR="00832F9E">
                            <w:rPr>
                              <w:caps/>
                              <w:color w:val="4F81BD" w:themeColor="accent1"/>
                              <w:sz w:val="64"/>
                              <w:szCs w:val="64"/>
                            </w:rPr>
                            <w:t xml:space="preserve"> 2014/15</w:t>
                          </w:r>
                        </w:p>
                      </w:txbxContent>
                    </v:textbox>
                    <w10:wrap type="square" anchorx="page" anchory="page"/>
                  </v:shape>
                </w:pict>
              </mc:Fallback>
            </mc:AlternateContent>
          </w:r>
        </w:p>
        <w:p w14:paraId="6A7BE9CA" w14:textId="4AD39E78" w:rsidR="00170D8D" w:rsidRDefault="00170D8D">
          <w:pPr>
            <w:rPr>
              <w:rFonts w:asciiTheme="majorHAnsi" w:eastAsiaTheme="majorEastAsia" w:hAnsiTheme="majorHAnsi" w:cstheme="majorBidi"/>
              <w:color w:val="365F91" w:themeColor="accent1" w:themeShade="BF"/>
              <w:sz w:val="32"/>
              <w:szCs w:val="32"/>
            </w:rPr>
          </w:pPr>
          <w:r>
            <w:br w:type="page"/>
          </w:r>
        </w:p>
      </w:sdtContent>
    </w:sdt>
    <w:p w14:paraId="11B65876" w14:textId="104660AF" w:rsidR="008051D1" w:rsidRPr="008051D1" w:rsidRDefault="00C71975" w:rsidP="005B432F">
      <w:pPr>
        <w:pStyle w:val="Heading2"/>
        <w:numPr>
          <w:ilvl w:val="0"/>
          <w:numId w:val="4"/>
        </w:numPr>
      </w:pPr>
      <w:bookmarkStart w:id="0" w:name="_Toc437244655"/>
      <w:r>
        <w:lastRenderedPageBreak/>
        <w:t>Introduction</w:t>
      </w:r>
      <w:bookmarkEnd w:id="0"/>
    </w:p>
    <w:p w14:paraId="76F7DAFC" w14:textId="4B349DFA" w:rsidR="00C71975" w:rsidRDefault="0024159B" w:rsidP="00295CB3">
      <w:r>
        <w:t xml:space="preserve">King’s College London has </w:t>
      </w:r>
      <w:r w:rsidR="00076E14">
        <w:t xml:space="preserve">committed to a </w:t>
      </w:r>
      <w:r>
        <w:t>target of a 43% reduction in Scope 1 &amp; 2 carbon emissions by 2019/20 against a 2005/06 baseline.</w:t>
      </w:r>
      <w:r w:rsidR="00A639D5">
        <w:t xml:space="preserve"> </w:t>
      </w:r>
      <w:r w:rsidR="00076E14">
        <w:t>During</w:t>
      </w:r>
      <w:r w:rsidR="00A639D5">
        <w:t xml:space="preserve"> 2014</w:t>
      </w:r>
      <w:r>
        <w:t>/1</w:t>
      </w:r>
      <w:r w:rsidR="00A639D5">
        <w:t>5</w:t>
      </w:r>
      <w:r>
        <w:t xml:space="preserve"> KCL had achieved a reduction of </w:t>
      </w:r>
      <w:r w:rsidR="00DE6CB5">
        <w:t>8</w:t>
      </w:r>
      <w:r w:rsidR="00AA4F83">
        <w:t>%</w:t>
      </w:r>
      <w:r w:rsidR="00DE6CB5">
        <w:t xml:space="preserve"> against baseline</w:t>
      </w:r>
      <w:r w:rsidR="00AA4F83">
        <w:t>.</w:t>
      </w:r>
      <w:r w:rsidR="00076E14">
        <w:t xml:space="preserve"> This was assisted by the implementation of projects with calculated carbon savings of 688tCO</w:t>
      </w:r>
      <w:r w:rsidR="00076E14" w:rsidRPr="0081180A">
        <w:rPr>
          <w:vertAlign w:val="subscript"/>
        </w:rPr>
        <w:t>2</w:t>
      </w:r>
      <w:r w:rsidR="00076E14">
        <w:t>e, detailed in Appendix A.</w:t>
      </w:r>
      <w:r w:rsidR="00F57916">
        <w:t xml:space="preserve"> An example project case study is included in Appendix C.</w:t>
      </w:r>
    </w:p>
    <w:p w14:paraId="3EC06449" w14:textId="1CE4062C" w:rsidR="00EF1F84" w:rsidRDefault="00605A62" w:rsidP="00295CB3">
      <w:r>
        <w:t xml:space="preserve">To </w:t>
      </w:r>
      <w:r w:rsidR="00076E14">
        <w:t>meet the 43% target</w:t>
      </w:r>
      <w:r>
        <w:t xml:space="preserve">, </w:t>
      </w:r>
      <w:r w:rsidR="00076E14">
        <w:t xml:space="preserve">an additional </w:t>
      </w:r>
      <w:r w:rsidR="00EF1F84">
        <w:t>2,900 tCO</w:t>
      </w:r>
      <w:r w:rsidR="00EF1F84" w:rsidRPr="00076E14">
        <w:rPr>
          <w:vertAlign w:val="subscript"/>
        </w:rPr>
        <w:t>2</w:t>
      </w:r>
      <w:r w:rsidR="00EF1F84">
        <w:t xml:space="preserve"> will need to be saved from </w:t>
      </w:r>
      <w:r w:rsidR="00076E14">
        <w:t>KCL’s</w:t>
      </w:r>
      <w:r w:rsidR="00EF1F84">
        <w:t xml:space="preserve"> emissions each year. </w:t>
      </w:r>
      <w:r w:rsidR="00A639D5">
        <w:t xml:space="preserve">Based on the current rate of reduction, we </w:t>
      </w:r>
      <w:r w:rsidR="00076E14">
        <w:t xml:space="preserve">can achieve </w:t>
      </w:r>
      <w:r w:rsidR="00A639D5">
        <w:t>a 1kg reduction in CO</w:t>
      </w:r>
      <w:r w:rsidR="00A639D5" w:rsidRPr="00076E14">
        <w:rPr>
          <w:vertAlign w:val="subscript"/>
        </w:rPr>
        <w:t>2</w:t>
      </w:r>
      <w:r w:rsidR="00A639D5">
        <w:t xml:space="preserve"> </w:t>
      </w:r>
      <w:r w:rsidR="00076E14">
        <w:t xml:space="preserve">per </w:t>
      </w:r>
      <w:r w:rsidR="00A639D5">
        <w:t>£1</w:t>
      </w:r>
      <w:r w:rsidR="00076E14">
        <w:t xml:space="preserve"> invested</w:t>
      </w:r>
      <w:r w:rsidR="00A639D5">
        <w:t xml:space="preserve">. Extrapolation of </w:t>
      </w:r>
      <w:r w:rsidR="009D0D4C">
        <w:t>t</w:t>
      </w:r>
      <w:r w:rsidR="0015153D">
        <w:t xml:space="preserve">his </w:t>
      </w:r>
      <w:r w:rsidR="00A639D5">
        <w:t xml:space="preserve">leads to an estimated </w:t>
      </w:r>
      <w:r>
        <w:t>£2,900,000 per annum</w:t>
      </w:r>
      <w:r w:rsidR="00A639D5">
        <w:t xml:space="preserve"> investment to achieve our targets. Based on </w:t>
      </w:r>
      <w:r w:rsidR="005B432F">
        <w:t xml:space="preserve">an average </w:t>
      </w:r>
      <w:r>
        <w:t xml:space="preserve">return </w:t>
      </w:r>
      <w:r w:rsidR="005B432F">
        <w:t>on investment of 21%</w:t>
      </w:r>
      <w:r w:rsidR="00A639D5">
        <w:t xml:space="preserve"> </w:t>
      </w:r>
      <w:r w:rsidR="005B432F">
        <w:t xml:space="preserve">an investment of £2.9m per annum would yield </w:t>
      </w:r>
      <w:r>
        <w:t xml:space="preserve">£2,418,000 </w:t>
      </w:r>
      <w:r w:rsidR="005B432F">
        <w:t xml:space="preserve">in energy savings </w:t>
      </w:r>
      <w:r>
        <w:t xml:space="preserve">per annum at </w:t>
      </w:r>
      <w:r w:rsidR="00EF1F84">
        <w:t>today’s</w:t>
      </w:r>
      <w:r>
        <w:t xml:space="preserve"> prices by 2019/20.</w:t>
      </w:r>
    </w:p>
    <w:p w14:paraId="508999B3" w14:textId="4D15EBB9" w:rsidR="00EF1F84" w:rsidRDefault="00947A1D" w:rsidP="00295CB3">
      <w:r>
        <w:t xml:space="preserve">Existing </w:t>
      </w:r>
      <w:r w:rsidR="00EF1F84">
        <w:t>pipeline projects</w:t>
      </w:r>
      <w:r w:rsidR="0015153D">
        <w:t xml:space="preserve"> </w:t>
      </w:r>
      <w:r w:rsidR="00EF1F84">
        <w:t>with an annual carbon reduction total of 3,159tCO</w:t>
      </w:r>
      <w:r w:rsidR="00EF1F84" w:rsidRPr="00EF1F84">
        <w:rPr>
          <w:vertAlign w:val="subscript"/>
        </w:rPr>
        <w:t>2</w:t>
      </w:r>
      <w:r w:rsidRPr="00947A1D">
        <w:t xml:space="preserve"> </w:t>
      </w:r>
      <w:r>
        <w:t>have been identified for completion in 2015/16</w:t>
      </w:r>
      <w:r w:rsidR="00076E14">
        <w:t>, as detailed in Appendix B</w:t>
      </w:r>
      <w:r w:rsidR="00EF1F84">
        <w:t>. The estimated cost of implementation is £</w:t>
      </w:r>
      <w:r>
        <w:rPr>
          <w:lang w:eastAsia="en-GB"/>
        </w:rPr>
        <w:t>2,803,395</w:t>
      </w:r>
      <w:r w:rsidR="00EF1F84">
        <w:t>.</w:t>
      </w:r>
      <w:r w:rsidR="0015153D">
        <w:t xml:space="preserve"> A</w:t>
      </w:r>
      <w:r w:rsidR="00EF1F84">
        <w:t xml:space="preserve"> full list of </w:t>
      </w:r>
      <w:r w:rsidR="00DE6CB5">
        <w:t>2014/15 projects can be found in Appendix A, pipeline projects for 2015/16 in Appendix B.</w:t>
      </w:r>
      <w:r w:rsidR="00EF1F84">
        <w:t xml:space="preserve"> </w:t>
      </w:r>
      <w:r w:rsidR="00076E14">
        <w:t>Key risks facing the successful achievement of the carbon reduction target include lack of i</w:t>
      </w:r>
      <w:r w:rsidR="00832F9E">
        <w:t xml:space="preserve">nvestment, growth of the estate, increase in student numbers and changing demands on building environments. </w:t>
      </w:r>
    </w:p>
    <w:p w14:paraId="588CCF90" w14:textId="1AC9B0FB" w:rsidR="00AA4F83" w:rsidRDefault="00AA4F83" w:rsidP="00295CB3">
      <w:r>
        <w:t>KCL track</w:t>
      </w:r>
      <w:r w:rsidR="00157846">
        <w:t>s</w:t>
      </w:r>
      <w:r>
        <w:t xml:space="preserve"> and report</w:t>
      </w:r>
      <w:r w:rsidR="00157846">
        <w:t>s</w:t>
      </w:r>
      <w:r>
        <w:t xml:space="preserve"> Scope 3 emissions. </w:t>
      </w:r>
      <w:r w:rsidR="00E95CD8">
        <w:t xml:space="preserve">Scope 3 emissions are baselined against 2008/09. </w:t>
      </w:r>
      <w:r w:rsidR="00224E86">
        <w:t>By 2014</w:t>
      </w:r>
      <w:r>
        <w:t>/1</w:t>
      </w:r>
      <w:r w:rsidR="00224E86">
        <w:t>5</w:t>
      </w:r>
      <w:r>
        <w:t xml:space="preserve">, Scope 3 emissions had increased by </w:t>
      </w:r>
      <w:r w:rsidR="00224E86">
        <w:t>30</w:t>
      </w:r>
      <w:r w:rsidR="00E95CD8">
        <w:t>% against the 2008/09 baseline</w:t>
      </w:r>
      <w:r w:rsidR="00D658EB">
        <w:t xml:space="preserve"> to </w:t>
      </w:r>
      <w:r w:rsidR="00D658EB" w:rsidRPr="00D658EB">
        <w:t>38</w:t>
      </w:r>
      <w:r w:rsidR="00D658EB">
        <w:t>,</w:t>
      </w:r>
      <w:r w:rsidR="00D658EB" w:rsidRPr="00D658EB">
        <w:t>073</w:t>
      </w:r>
      <w:r w:rsidR="00D658EB">
        <w:t>tCO</w:t>
      </w:r>
      <w:r w:rsidR="00D658EB" w:rsidRPr="00EF1F84">
        <w:rPr>
          <w:vertAlign w:val="subscript"/>
        </w:rPr>
        <w:t>2</w:t>
      </w:r>
      <w:r w:rsidR="00E95CD8">
        <w:t>. This figure reflect</w:t>
      </w:r>
      <w:r w:rsidR="00D0590D">
        <w:t>s</w:t>
      </w:r>
      <w:r w:rsidR="00E95CD8">
        <w:t xml:space="preserve"> increases in staff and student commuting and business travel</w:t>
      </w:r>
      <w:r w:rsidR="00224E86">
        <w:t>.</w:t>
      </w:r>
      <w:r w:rsidR="00E95CD8">
        <w:t xml:space="preserve"> </w:t>
      </w:r>
    </w:p>
    <w:p w14:paraId="56895D82" w14:textId="38DA19C7" w:rsidR="0015153D" w:rsidRDefault="0015153D" w:rsidP="005B432F">
      <w:pPr>
        <w:pStyle w:val="Heading2"/>
        <w:numPr>
          <w:ilvl w:val="0"/>
          <w:numId w:val="4"/>
        </w:numPr>
      </w:pPr>
      <w:bookmarkStart w:id="1" w:name="_Toc437244656"/>
      <w:r w:rsidRPr="0081736C">
        <w:t>Current Carbon Emissions</w:t>
      </w:r>
      <w:bookmarkEnd w:id="1"/>
      <w:r w:rsidRPr="0081736C">
        <w:t xml:space="preserve"> </w:t>
      </w:r>
    </w:p>
    <w:p w14:paraId="0A84D481" w14:textId="77777777" w:rsidR="00D658EB" w:rsidRDefault="00076E14" w:rsidP="00D658EB">
      <w:pPr>
        <w:rPr>
          <w:rFonts w:ascii="Arial" w:hAnsi="Arial"/>
          <w:bCs/>
          <w:sz w:val="20"/>
          <w:szCs w:val="20"/>
          <w:lang w:eastAsia="en-GB"/>
        </w:rPr>
      </w:pPr>
      <w:r>
        <w:rPr>
          <w:rFonts w:ascii="Arial" w:hAnsi="Arial"/>
          <w:bCs/>
          <w:sz w:val="20"/>
          <w:szCs w:val="20"/>
          <w:lang w:eastAsia="en-GB"/>
        </w:rPr>
        <w:t xml:space="preserve">The implementation of the carbon management plan in 2005/06 has led to annual savings of approximately £3.6m. Despite this achievement, KCL are not on target to reach the stated carbon reduction target of 43%. </w:t>
      </w:r>
      <w:r w:rsidR="00832F9E">
        <w:rPr>
          <w:rFonts w:ascii="Arial" w:hAnsi="Arial"/>
          <w:bCs/>
          <w:sz w:val="20"/>
          <w:szCs w:val="20"/>
          <w:lang w:eastAsia="en-GB"/>
        </w:rPr>
        <w:t xml:space="preserve">Figure </w:t>
      </w:r>
      <w:r>
        <w:rPr>
          <w:rFonts w:ascii="Arial" w:hAnsi="Arial"/>
          <w:bCs/>
          <w:sz w:val="20"/>
          <w:szCs w:val="20"/>
          <w:lang w:eastAsia="en-GB"/>
        </w:rPr>
        <w:t xml:space="preserve">1 </w:t>
      </w:r>
      <w:r w:rsidR="00832F9E">
        <w:t>outlines our progress to date against carbon targets</w:t>
      </w:r>
      <w:r w:rsidR="00D658EB">
        <w:t>, using best available current data</w:t>
      </w:r>
      <w:r>
        <w:rPr>
          <w:rFonts w:ascii="Arial" w:hAnsi="Arial"/>
          <w:bCs/>
          <w:sz w:val="20"/>
          <w:szCs w:val="20"/>
          <w:lang w:eastAsia="en-GB"/>
        </w:rPr>
        <w:t>.</w:t>
      </w:r>
    </w:p>
    <w:p w14:paraId="12EFCB0B" w14:textId="24D91F26" w:rsidR="00C71975" w:rsidRDefault="00C71975" w:rsidP="00D658EB">
      <w:pPr>
        <w:rPr>
          <w:rFonts w:ascii="Arial" w:eastAsia="Times New Roman" w:hAnsi="Arial" w:cs="Arial"/>
          <w:bCs/>
          <w:sz w:val="20"/>
          <w:szCs w:val="20"/>
          <w:lang w:eastAsia="en-GB"/>
        </w:rPr>
      </w:pPr>
      <w:r>
        <w:t xml:space="preserve">Figure </w:t>
      </w:r>
      <w:r w:rsidR="00832F9E">
        <w:t>1</w:t>
      </w:r>
      <w:r>
        <w:t xml:space="preserve">: Carbon emission projections </w:t>
      </w:r>
      <w:r>
        <w:rPr>
          <w:noProof/>
          <w:lang w:eastAsia="en-GB"/>
        </w:rPr>
        <w:drawing>
          <wp:inline distT="0" distB="0" distL="0" distR="0" wp14:anchorId="6ED892CC" wp14:editId="5E0F7E8E">
            <wp:extent cx="5295900" cy="3276600"/>
            <wp:effectExtent l="0" t="0" r="0" b="0"/>
            <wp:docPr id="5" name="Chart 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6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876CC0" w14:textId="144D26DC" w:rsidR="00C71975" w:rsidRPr="00C71975" w:rsidRDefault="00C71975" w:rsidP="00D658EB">
      <w:pPr>
        <w:pStyle w:val="Caption"/>
        <w:rPr>
          <w:b w:val="0"/>
          <w:bCs w:val="0"/>
          <w:color w:val="auto"/>
          <w:sz w:val="22"/>
          <w:szCs w:val="22"/>
        </w:rPr>
      </w:pPr>
      <w:r w:rsidRPr="00C71975">
        <w:rPr>
          <w:b w:val="0"/>
          <w:bCs w:val="0"/>
          <w:color w:val="auto"/>
          <w:sz w:val="22"/>
          <w:szCs w:val="22"/>
        </w:rPr>
        <w:lastRenderedPageBreak/>
        <w:t>Business as usual represents the predicted carbon emissions if nothing had been done to address carbon reduction. This can be seen to increase dramatically, based on actual and planned changes to staff and student headcount.  The green line represents the Reduced Emissions Scenario (RES) and shows the path to achieve the 43% reduction in carbon emissions by 2019/20 against 2005/06 baseline. The blue bars from 2005/06 to 2014/15 show measured carbon emissions.</w:t>
      </w:r>
    </w:p>
    <w:p w14:paraId="59C60763" w14:textId="2F6FDB6C" w:rsidR="004C01F3" w:rsidRDefault="004C01F3" w:rsidP="004C01F3">
      <w:pPr>
        <w:pStyle w:val="Heading2"/>
      </w:pPr>
      <w:r>
        <w:t>Future carbon emissions</w:t>
      </w:r>
    </w:p>
    <w:p w14:paraId="13A36717" w14:textId="6D4195AD" w:rsidR="0015153D" w:rsidRDefault="0015153D" w:rsidP="00DA3063">
      <w:r>
        <w:t xml:space="preserve">KCL is a research intensive institution. </w:t>
      </w:r>
      <w:r w:rsidR="004C01F3">
        <w:t>We have targets to increase staff and student numbers,</w:t>
      </w:r>
      <w:r w:rsidR="00CA07E2">
        <w:t xml:space="preserve"> whilst rationalising </w:t>
      </w:r>
      <w:r w:rsidR="004C01F3">
        <w:t xml:space="preserve">floor space </w:t>
      </w:r>
      <w:r w:rsidR="00CA07E2">
        <w:t>and carbon emissions.</w:t>
      </w:r>
      <w:r w:rsidR="004C01F3">
        <w:t xml:space="preserve"> Table 1 outlines our success in decoupling carbon emissions from other growth metrics. </w:t>
      </w:r>
    </w:p>
    <w:p w14:paraId="0817F674" w14:textId="49F70F75" w:rsidR="00CA07E2" w:rsidRDefault="00CA07E2" w:rsidP="00DA3063">
      <w:r>
        <w:t>Table 1: Normalisation factors</w:t>
      </w:r>
    </w:p>
    <w:tbl>
      <w:tblPr>
        <w:tblW w:w="5802" w:type="dxa"/>
        <w:jc w:val="center"/>
        <w:tblLayout w:type="fixed"/>
        <w:tblCellMar>
          <w:left w:w="0" w:type="dxa"/>
          <w:right w:w="0" w:type="dxa"/>
        </w:tblCellMar>
        <w:tblLook w:val="0420" w:firstRow="1" w:lastRow="0" w:firstColumn="0" w:lastColumn="0" w:noHBand="0" w:noVBand="1"/>
      </w:tblPr>
      <w:tblGrid>
        <w:gridCol w:w="1975"/>
        <w:gridCol w:w="1275"/>
        <w:gridCol w:w="1276"/>
        <w:gridCol w:w="1276"/>
      </w:tblGrid>
      <w:tr w:rsidR="00DA3063" w:rsidRPr="004C01F3" w14:paraId="6CCE3454" w14:textId="77777777" w:rsidTr="009B64F0">
        <w:trPr>
          <w:trHeight w:val="16"/>
          <w:jc w:val="center"/>
        </w:trPr>
        <w:tc>
          <w:tcPr>
            <w:tcW w:w="197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877FA02" w14:textId="77777777" w:rsidR="00DA3063" w:rsidRPr="004C01F3" w:rsidRDefault="00DA3063" w:rsidP="00DA3063">
            <w:pPr>
              <w:spacing w:after="0"/>
              <w:rPr>
                <w:b/>
                <w:color w:val="FFFFFF" w:themeColor="background1"/>
                <w:sz w:val="20"/>
              </w:rPr>
            </w:pPr>
          </w:p>
        </w:tc>
        <w:tc>
          <w:tcPr>
            <w:tcW w:w="127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DBF00A8" w14:textId="77777777" w:rsidR="00DA3063" w:rsidRPr="004C01F3" w:rsidRDefault="00DA3063" w:rsidP="009B64F0">
            <w:pPr>
              <w:spacing w:after="0"/>
              <w:jc w:val="center"/>
              <w:rPr>
                <w:b/>
                <w:color w:val="FFFFFF" w:themeColor="background1"/>
                <w:sz w:val="20"/>
              </w:rPr>
            </w:pPr>
            <w:r w:rsidRPr="004C01F3">
              <w:rPr>
                <w:b/>
                <w:bCs/>
                <w:color w:val="FFFFFF" w:themeColor="background1"/>
                <w:sz w:val="20"/>
              </w:rPr>
              <w:t>2005/6</w:t>
            </w:r>
          </w:p>
        </w:tc>
        <w:tc>
          <w:tcPr>
            <w:tcW w:w="127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3891662" w14:textId="1EBAAF41" w:rsidR="00DA3063" w:rsidRPr="004C01F3" w:rsidRDefault="0081180A" w:rsidP="009B64F0">
            <w:pPr>
              <w:spacing w:after="0"/>
              <w:jc w:val="center"/>
              <w:rPr>
                <w:b/>
                <w:color w:val="FFFFFF" w:themeColor="background1"/>
                <w:sz w:val="20"/>
              </w:rPr>
            </w:pPr>
            <w:r w:rsidRPr="004C01F3">
              <w:rPr>
                <w:b/>
                <w:bCs/>
                <w:color w:val="FFFFFF" w:themeColor="background1"/>
                <w:sz w:val="20"/>
              </w:rPr>
              <w:t>2014/15</w:t>
            </w:r>
          </w:p>
        </w:tc>
        <w:tc>
          <w:tcPr>
            <w:tcW w:w="127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D2C6FEA" w14:textId="12ADA6A3" w:rsidR="00DA3063" w:rsidRPr="004C01F3" w:rsidRDefault="00DA3063" w:rsidP="009B64F0">
            <w:pPr>
              <w:spacing w:after="0"/>
              <w:jc w:val="center"/>
              <w:rPr>
                <w:b/>
                <w:color w:val="FFFFFF" w:themeColor="background1"/>
                <w:sz w:val="20"/>
              </w:rPr>
            </w:pPr>
            <w:r w:rsidRPr="004C01F3">
              <w:rPr>
                <w:b/>
                <w:color w:val="FFFFFF" w:themeColor="background1"/>
                <w:sz w:val="20"/>
              </w:rPr>
              <w:t>Change</w:t>
            </w:r>
          </w:p>
        </w:tc>
      </w:tr>
      <w:tr w:rsidR="00DA3063" w:rsidRPr="004C01F3" w14:paraId="48C5B1FC" w14:textId="77777777" w:rsidTr="009B64F0">
        <w:trPr>
          <w:trHeight w:val="26"/>
          <w:jc w:val="center"/>
        </w:trPr>
        <w:tc>
          <w:tcPr>
            <w:tcW w:w="197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DBA6FEE" w14:textId="0B4078D3" w:rsidR="00DA3063" w:rsidRPr="004C01F3" w:rsidRDefault="00CA07E2" w:rsidP="00CA07E2">
            <w:pPr>
              <w:spacing w:after="0" w:line="240" w:lineRule="auto"/>
              <w:rPr>
                <w:sz w:val="20"/>
              </w:rPr>
            </w:pPr>
            <w:r>
              <w:rPr>
                <w:sz w:val="20"/>
              </w:rPr>
              <w:t>t</w:t>
            </w:r>
            <w:r w:rsidR="00DA3063" w:rsidRPr="004C01F3">
              <w:rPr>
                <w:sz w:val="20"/>
              </w:rPr>
              <w:t>CO</w:t>
            </w:r>
            <w:r w:rsidR="00DA3063" w:rsidRPr="009B64F0">
              <w:rPr>
                <w:sz w:val="20"/>
                <w:vertAlign w:val="subscript"/>
              </w:rPr>
              <w:t>2</w:t>
            </w:r>
            <w:r w:rsidR="00DA3063" w:rsidRPr="004C01F3">
              <w:rPr>
                <w:sz w:val="20"/>
              </w:rPr>
              <w:t xml:space="preserve"> (</w:t>
            </w:r>
            <w:r>
              <w:rPr>
                <w:sz w:val="20"/>
              </w:rPr>
              <w:t>scope 1&amp;2</w:t>
            </w:r>
            <w:r w:rsidR="00DA3063" w:rsidRPr="004C01F3">
              <w:rPr>
                <w:sz w:val="20"/>
              </w:rPr>
              <w:t>)</w:t>
            </w:r>
          </w:p>
        </w:tc>
        <w:tc>
          <w:tcPr>
            <w:tcW w:w="127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464C937" w14:textId="02E458CE" w:rsidR="00DA3063" w:rsidRPr="004C01F3" w:rsidRDefault="00CA07E2" w:rsidP="00CA07E2">
            <w:pPr>
              <w:spacing w:after="0"/>
              <w:jc w:val="right"/>
              <w:rPr>
                <w:sz w:val="20"/>
              </w:rPr>
            </w:pPr>
            <w:r>
              <w:rPr>
                <w:sz w:val="20"/>
              </w:rPr>
              <w:t>32,525</w:t>
            </w:r>
          </w:p>
        </w:tc>
        <w:tc>
          <w:tcPr>
            <w:tcW w:w="12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9880EF6" w14:textId="7333383C" w:rsidR="00DA3063" w:rsidRPr="004C01F3" w:rsidRDefault="00CA07E2" w:rsidP="00CA07E2">
            <w:pPr>
              <w:spacing w:after="0"/>
              <w:jc w:val="right"/>
              <w:rPr>
                <w:sz w:val="20"/>
              </w:rPr>
            </w:pPr>
            <w:r>
              <w:rPr>
                <w:sz w:val="20"/>
              </w:rPr>
              <w:t>29,992</w:t>
            </w:r>
          </w:p>
        </w:tc>
        <w:tc>
          <w:tcPr>
            <w:tcW w:w="12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3B2ADE4" w14:textId="0F014F06" w:rsidR="00DA3063" w:rsidRPr="004C01F3" w:rsidRDefault="00CA07E2" w:rsidP="00CA07E2">
            <w:pPr>
              <w:spacing w:after="0"/>
              <w:jc w:val="right"/>
              <w:rPr>
                <w:sz w:val="20"/>
              </w:rPr>
            </w:pPr>
            <w:r>
              <w:rPr>
                <w:sz w:val="20"/>
              </w:rPr>
              <w:t>-8%</w:t>
            </w:r>
          </w:p>
        </w:tc>
      </w:tr>
      <w:tr w:rsidR="00DA3063" w:rsidRPr="004C01F3" w14:paraId="3FAB61DC" w14:textId="77777777" w:rsidTr="009B64F0">
        <w:trPr>
          <w:trHeight w:val="16"/>
          <w:jc w:val="center"/>
        </w:trPr>
        <w:tc>
          <w:tcPr>
            <w:tcW w:w="19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349E630" w14:textId="2810F04F" w:rsidR="00DA3063" w:rsidRPr="004C01F3" w:rsidRDefault="00DA3063" w:rsidP="004C01F3">
            <w:pPr>
              <w:spacing w:after="0" w:line="240" w:lineRule="auto"/>
              <w:rPr>
                <w:sz w:val="20"/>
              </w:rPr>
            </w:pPr>
            <w:r w:rsidRPr="004C01F3">
              <w:rPr>
                <w:sz w:val="20"/>
              </w:rPr>
              <w:t xml:space="preserve">Total Staff </w:t>
            </w:r>
            <w:r w:rsidR="00CA07E2">
              <w:rPr>
                <w:sz w:val="20"/>
              </w:rPr>
              <w:t>(</w:t>
            </w:r>
            <w:r w:rsidRPr="004C01F3">
              <w:rPr>
                <w:sz w:val="20"/>
              </w:rPr>
              <w:t>FTE</w:t>
            </w:r>
            <w:r w:rsidR="00CA07E2">
              <w:rPr>
                <w:sz w:val="20"/>
              </w:rPr>
              <w:t>)</w:t>
            </w:r>
          </w:p>
        </w:tc>
        <w:tc>
          <w:tcPr>
            <w:tcW w:w="12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2510B0E2" w14:textId="0BE53A3E" w:rsidR="00DA3063" w:rsidRPr="004C01F3" w:rsidRDefault="00CA07E2" w:rsidP="00CA07E2">
            <w:pPr>
              <w:spacing w:after="0"/>
              <w:jc w:val="right"/>
              <w:rPr>
                <w:sz w:val="20"/>
              </w:rPr>
            </w:pPr>
            <w:r>
              <w:rPr>
                <w:sz w:val="20"/>
              </w:rPr>
              <w:t>6,234</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0C5E81BB" w14:textId="10AE95E9" w:rsidR="00DA3063" w:rsidRPr="004C01F3" w:rsidRDefault="007564BD" w:rsidP="00CA07E2">
            <w:pPr>
              <w:spacing w:after="0"/>
              <w:jc w:val="right"/>
              <w:rPr>
                <w:sz w:val="20"/>
              </w:rPr>
            </w:pPr>
            <w:r>
              <w:rPr>
                <w:sz w:val="20"/>
              </w:rPr>
              <w:t>7,330</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20A39C2E" w14:textId="591AE597" w:rsidR="00DA3063" w:rsidRPr="004C01F3" w:rsidRDefault="007564BD" w:rsidP="00CA07E2">
            <w:pPr>
              <w:spacing w:after="0"/>
              <w:jc w:val="right"/>
              <w:rPr>
                <w:sz w:val="20"/>
              </w:rPr>
            </w:pPr>
            <w:r>
              <w:rPr>
                <w:sz w:val="20"/>
              </w:rPr>
              <w:t>18</w:t>
            </w:r>
            <w:r w:rsidR="00CA07E2">
              <w:rPr>
                <w:sz w:val="20"/>
              </w:rPr>
              <w:t>%</w:t>
            </w:r>
          </w:p>
        </w:tc>
      </w:tr>
      <w:tr w:rsidR="00CA07E2" w:rsidRPr="004C01F3" w14:paraId="1BCCD478" w14:textId="77777777" w:rsidTr="009B64F0">
        <w:trPr>
          <w:trHeight w:val="16"/>
          <w:jc w:val="center"/>
        </w:trPr>
        <w:tc>
          <w:tcPr>
            <w:tcW w:w="19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CD603E6" w14:textId="1FA82E7E" w:rsidR="00CA07E2" w:rsidRPr="004C01F3" w:rsidRDefault="00CA07E2" w:rsidP="00CA07E2">
            <w:pPr>
              <w:spacing w:after="0" w:line="240" w:lineRule="auto"/>
              <w:rPr>
                <w:sz w:val="20"/>
              </w:rPr>
            </w:pPr>
            <w:r w:rsidRPr="004C01F3">
              <w:rPr>
                <w:sz w:val="20"/>
              </w:rPr>
              <w:t xml:space="preserve">Students </w:t>
            </w:r>
            <w:r>
              <w:rPr>
                <w:sz w:val="20"/>
              </w:rPr>
              <w:t>(</w:t>
            </w:r>
            <w:r w:rsidRPr="004C01F3">
              <w:rPr>
                <w:sz w:val="20"/>
              </w:rPr>
              <w:t>FTE</w:t>
            </w:r>
            <w:r>
              <w:rPr>
                <w:sz w:val="20"/>
              </w:rPr>
              <w:t>)</w:t>
            </w:r>
          </w:p>
        </w:tc>
        <w:tc>
          <w:tcPr>
            <w:tcW w:w="12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9605344" w14:textId="68931F39" w:rsidR="00CA07E2" w:rsidRPr="004C01F3" w:rsidRDefault="00CA07E2" w:rsidP="00CA07E2">
            <w:pPr>
              <w:spacing w:after="0"/>
              <w:jc w:val="right"/>
              <w:rPr>
                <w:sz w:val="20"/>
              </w:rPr>
            </w:pPr>
            <w:r>
              <w:rPr>
                <w:sz w:val="20"/>
              </w:rPr>
              <w:t>19,289</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F6720D5" w14:textId="7EE851BF" w:rsidR="00CA07E2" w:rsidRPr="004C01F3" w:rsidRDefault="00CA07E2" w:rsidP="00CA07E2">
            <w:pPr>
              <w:spacing w:after="0"/>
              <w:jc w:val="right"/>
              <w:rPr>
                <w:sz w:val="20"/>
              </w:rPr>
            </w:pPr>
            <w:r>
              <w:rPr>
                <w:sz w:val="20"/>
              </w:rPr>
              <w:t>26,509</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2637001" w14:textId="4E2C1317" w:rsidR="00CA07E2" w:rsidRPr="004C01F3" w:rsidRDefault="00CA07E2" w:rsidP="00CA07E2">
            <w:pPr>
              <w:spacing w:after="0"/>
              <w:jc w:val="right"/>
              <w:rPr>
                <w:sz w:val="20"/>
              </w:rPr>
            </w:pPr>
            <w:r>
              <w:rPr>
                <w:sz w:val="20"/>
              </w:rPr>
              <w:t>37%</w:t>
            </w:r>
          </w:p>
        </w:tc>
      </w:tr>
      <w:tr w:rsidR="00CA07E2" w:rsidRPr="004C01F3" w14:paraId="3104225B" w14:textId="77777777" w:rsidTr="009B64F0">
        <w:trPr>
          <w:trHeight w:val="16"/>
          <w:jc w:val="center"/>
        </w:trPr>
        <w:tc>
          <w:tcPr>
            <w:tcW w:w="19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92FA46D" w14:textId="6146CAC5" w:rsidR="00CA07E2" w:rsidRPr="004C01F3" w:rsidRDefault="00CA07E2" w:rsidP="00CA07E2">
            <w:pPr>
              <w:spacing w:after="0" w:line="240" w:lineRule="auto"/>
              <w:rPr>
                <w:sz w:val="20"/>
              </w:rPr>
            </w:pPr>
            <w:r w:rsidRPr="004C01F3">
              <w:rPr>
                <w:sz w:val="20"/>
              </w:rPr>
              <w:t xml:space="preserve">Turnover </w:t>
            </w:r>
            <w:r>
              <w:rPr>
                <w:sz w:val="20"/>
              </w:rPr>
              <w:t>(</w:t>
            </w:r>
            <w:r w:rsidRPr="004C01F3">
              <w:rPr>
                <w:sz w:val="20"/>
              </w:rPr>
              <w:t>£</w:t>
            </w:r>
            <w:r>
              <w:rPr>
                <w:sz w:val="20"/>
              </w:rPr>
              <w:t>000)</w:t>
            </w:r>
          </w:p>
        </w:tc>
        <w:tc>
          <w:tcPr>
            <w:tcW w:w="12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73C3B3D9" w14:textId="1DB11133" w:rsidR="00CA07E2" w:rsidRPr="004C01F3" w:rsidRDefault="00CA07E2" w:rsidP="00CA07E2">
            <w:pPr>
              <w:spacing w:after="0"/>
              <w:jc w:val="right"/>
              <w:rPr>
                <w:sz w:val="20"/>
              </w:rPr>
            </w:pPr>
            <w:r>
              <w:rPr>
                <w:sz w:val="20"/>
              </w:rPr>
              <w:t>387,951</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35D78C43" w14:textId="33783678" w:rsidR="00CA07E2" w:rsidRPr="004C01F3" w:rsidRDefault="00CA07E2" w:rsidP="00CA07E2">
            <w:pPr>
              <w:spacing w:after="0"/>
              <w:jc w:val="right"/>
              <w:rPr>
                <w:sz w:val="20"/>
              </w:rPr>
            </w:pPr>
            <w:r>
              <w:rPr>
                <w:sz w:val="20"/>
              </w:rPr>
              <w:t>684,225</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292CA6B4" w14:textId="7C1B1BE6" w:rsidR="00CA07E2" w:rsidRPr="004C01F3" w:rsidRDefault="00CA07E2" w:rsidP="00CA07E2">
            <w:pPr>
              <w:spacing w:after="0"/>
              <w:jc w:val="right"/>
              <w:rPr>
                <w:sz w:val="20"/>
              </w:rPr>
            </w:pPr>
            <w:r>
              <w:rPr>
                <w:sz w:val="20"/>
              </w:rPr>
              <w:t>76%</w:t>
            </w:r>
          </w:p>
        </w:tc>
      </w:tr>
      <w:tr w:rsidR="00CA07E2" w:rsidRPr="00CA07E2" w14:paraId="6923EDC6" w14:textId="77777777" w:rsidTr="00734A9B">
        <w:trPr>
          <w:trHeight w:val="16"/>
          <w:jc w:val="center"/>
        </w:trPr>
        <w:tc>
          <w:tcPr>
            <w:tcW w:w="19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B06D420" w14:textId="2265A31E" w:rsidR="00CA07E2" w:rsidRPr="004C01F3" w:rsidRDefault="00CA07E2" w:rsidP="00CA07E2">
            <w:pPr>
              <w:spacing w:after="0" w:line="240" w:lineRule="auto"/>
              <w:rPr>
                <w:sz w:val="20"/>
              </w:rPr>
            </w:pPr>
            <w:r>
              <w:rPr>
                <w:sz w:val="20"/>
              </w:rPr>
              <w:t>Turnover £m (2005)</w:t>
            </w:r>
          </w:p>
        </w:tc>
        <w:tc>
          <w:tcPr>
            <w:tcW w:w="12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0004BC5A" w14:textId="370A3CCB" w:rsidR="00CA07E2" w:rsidRPr="004C01F3" w:rsidRDefault="00CA07E2" w:rsidP="00CA07E2">
            <w:pPr>
              <w:spacing w:after="0"/>
              <w:jc w:val="right"/>
              <w:rPr>
                <w:sz w:val="20"/>
              </w:rPr>
            </w:pPr>
            <w:r>
              <w:rPr>
                <w:sz w:val="20"/>
              </w:rPr>
              <w:t>387,951</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50BA6B63" w14:textId="6D52117A" w:rsidR="00CA07E2" w:rsidRPr="004C01F3" w:rsidRDefault="00CA07E2" w:rsidP="00CA07E2">
            <w:pPr>
              <w:spacing w:after="0"/>
              <w:jc w:val="right"/>
              <w:rPr>
                <w:sz w:val="20"/>
              </w:rPr>
            </w:pPr>
            <w:r>
              <w:rPr>
                <w:sz w:val="20"/>
              </w:rPr>
              <w:t>556,590</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AB692A1" w14:textId="00755635" w:rsidR="00CA07E2" w:rsidRPr="004C01F3" w:rsidRDefault="00CA07E2" w:rsidP="00CA07E2">
            <w:pPr>
              <w:spacing w:after="0"/>
              <w:jc w:val="right"/>
              <w:rPr>
                <w:sz w:val="20"/>
              </w:rPr>
            </w:pPr>
            <w:r>
              <w:rPr>
                <w:sz w:val="20"/>
              </w:rPr>
              <w:t>43%</w:t>
            </w:r>
          </w:p>
        </w:tc>
      </w:tr>
      <w:tr w:rsidR="00CA07E2" w:rsidRPr="004C01F3" w14:paraId="5535E9B9" w14:textId="77777777" w:rsidTr="009B64F0">
        <w:trPr>
          <w:trHeight w:val="16"/>
          <w:jc w:val="center"/>
        </w:trPr>
        <w:tc>
          <w:tcPr>
            <w:tcW w:w="19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5AE119DC" w14:textId="0119551A" w:rsidR="00CA07E2" w:rsidRPr="004C01F3" w:rsidRDefault="00CA07E2" w:rsidP="00CA07E2">
            <w:pPr>
              <w:spacing w:after="0" w:line="240" w:lineRule="auto"/>
              <w:rPr>
                <w:sz w:val="20"/>
              </w:rPr>
            </w:pPr>
            <w:r w:rsidRPr="004C01F3">
              <w:rPr>
                <w:sz w:val="20"/>
              </w:rPr>
              <w:t>GIA</w:t>
            </w:r>
            <w:r>
              <w:rPr>
                <w:sz w:val="20"/>
              </w:rPr>
              <w:t xml:space="preserve"> (m</w:t>
            </w:r>
            <w:r w:rsidRPr="00CA07E2">
              <w:rPr>
                <w:sz w:val="20"/>
                <w:vertAlign w:val="superscript"/>
              </w:rPr>
              <w:t>2</w:t>
            </w:r>
            <w:r>
              <w:rPr>
                <w:sz w:val="20"/>
              </w:rPr>
              <w:t>)</w:t>
            </w:r>
          </w:p>
        </w:tc>
        <w:tc>
          <w:tcPr>
            <w:tcW w:w="12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08A9E26B" w14:textId="079CD64B" w:rsidR="00CA07E2" w:rsidRPr="004C01F3" w:rsidRDefault="00CA07E2" w:rsidP="00CA07E2">
            <w:pPr>
              <w:spacing w:after="0"/>
              <w:jc w:val="right"/>
              <w:rPr>
                <w:sz w:val="20"/>
              </w:rPr>
            </w:pPr>
            <w:r>
              <w:rPr>
                <w:sz w:val="20"/>
              </w:rPr>
              <w:t>407,093</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785FE002" w14:textId="6F8E3603" w:rsidR="00CA07E2" w:rsidRPr="004C01F3" w:rsidRDefault="00CA07E2" w:rsidP="00CA07E2">
            <w:pPr>
              <w:spacing w:after="0"/>
              <w:jc w:val="right"/>
              <w:rPr>
                <w:sz w:val="20"/>
              </w:rPr>
            </w:pPr>
            <w:r>
              <w:rPr>
                <w:sz w:val="20"/>
              </w:rPr>
              <w:t>384,900</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1121B553" w14:textId="4C5F7E52" w:rsidR="00CA07E2" w:rsidRPr="004C01F3" w:rsidRDefault="00CA07E2" w:rsidP="00CA07E2">
            <w:pPr>
              <w:spacing w:after="0"/>
              <w:jc w:val="right"/>
              <w:rPr>
                <w:sz w:val="20"/>
              </w:rPr>
            </w:pPr>
            <w:r>
              <w:rPr>
                <w:sz w:val="20"/>
              </w:rPr>
              <w:t>-5%</w:t>
            </w:r>
          </w:p>
        </w:tc>
      </w:tr>
    </w:tbl>
    <w:p w14:paraId="4721A42A" w14:textId="77777777" w:rsidR="00F57916" w:rsidRDefault="00F57916" w:rsidP="0015153D"/>
    <w:p w14:paraId="7EB69AA5" w14:textId="6B242806" w:rsidR="0015153D" w:rsidRDefault="0015153D" w:rsidP="0015153D">
      <w:r>
        <w:t xml:space="preserve">The reduction in carbon emissions per total FTE of students and staff is mirrored by falling carbon emissions per £ income. Income into the College has grown over the years and is a good representation of the level of </w:t>
      </w:r>
      <w:r w:rsidR="00F57916">
        <w:t>teaching</w:t>
      </w:r>
      <w:r w:rsidR="00CA07E2">
        <w:t xml:space="preserve"> &amp; learning </w:t>
      </w:r>
      <w:r>
        <w:t>and research. Carbon emissions p</w:t>
      </w:r>
      <w:r w:rsidR="00C271CF">
        <w:t>er £ of income have</w:t>
      </w:r>
      <w:r>
        <w:t xml:space="preserve"> reduced by </w:t>
      </w:r>
      <w:r w:rsidR="00CA07E2">
        <w:t>36</w:t>
      </w:r>
      <w:r w:rsidR="00C271CF">
        <w:t>% after adjustment for inflation</w:t>
      </w:r>
      <w:r>
        <w:t>. This suggests that KCL has managed to decouple economic growth and increasing carbon emissions.</w:t>
      </w:r>
    </w:p>
    <w:p w14:paraId="73AAB485" w14:textId="3B9D2E7B" w:rsidR="0015153D" w:rsidRDefault="0015153D" w:rsidP="005B432F">
      <w:pPr>
        <w:pStyle w:val="Heading2"/>
        <w:numPr>
          <w:ilvl w:val="0"/>
          <w:numId w:val="4"/>
        </w:numPr>
      </w:pPr>
      <w:bookmarkStart w:id="2" w:name="_Toc437244657"/>
      <w:r w:rsidRPr="00295CB3">
        <w:t>Achieving KCL’s Carbon Reduction Targets</w:t>
      </w:r>
      <w:bookmarkEnd w:id="2"/>
    </w:p>
    <w:p w14:paraId="5762705F" w14:textId="691C2742" w:rsidR="0081180A" w:rsidRDefault="0015153D" w:rsidP="0015153D">
      <w:r w:rsidRPr="0081180A">
        <w:t xml:space="preserve">In order to </w:t>
      </w:r>
      <w:r w:rsidR="00CA07E2">
        <w:t xml:space="preserve">move ahead of our targeted carbon emissions we </w:t>
      </w:r>
      <w:r w:rsidR="00866FC6">
        <w:t>must reduce CO</w:t>
      </w:r>
      <w:r w:rsidR="00866FC6" w:rsidRPr="00866FC6">
        <w:rPr>
          <w:vertAlign w:val="subscript"/>
        </w:rPr>
        <w:t>2</w:t>
      </w:r>
      <w:r w:rsidR="00866FC6">
        <w:t xml:space="preserve"> by a </w:t>
      </w:r>
      <w:r w:rsidRPr="0081180A">
        <w:t>further 20% against 2005/06 by the end of the 2016/17 academic year.</w:t>
      </w:r>
      <w:r w:rsidR="00866FC6">
        <w:t xml:space="preserve"> Following the Project Re</w:t>
      </w:r>
      <w:r w:rsidR="00DE6CB5">
        <w:t>gister, summarised in Appendix C</w:t>
      </w:r>
      <w:r w:rsidR="00866FC6">
        <w:t>, we are on track to reduce the footprint by 10%</w:t>
      </w:r>
      <w:r w:rsidRPr="0081180A">
        <w:t xml:space="preserve"> </w:t>
      </w:r>
      <w:r w:rsidR="00866FC6">
        <w:t xml:space="preserve">during 2015/16. The challenge remains in identifying </w:t>
      </w:r>
      <w:r w:rsidR="00DE6CB5">
        <w:t xml:space="preserve">and mitigating the impact </w:t>
      </w:r>
      <w:r w:rsidR="00866FC6">
        <w:t xml:space="preserve">projects that will increase our carbon footprint, offsetting the </w:t>
      </w:r>
      <w:r w:rsidR="00DE6CB5">
        <w:t xml:space="preserve">effect </w:t>
      </w:r>
      <w:r w:rsidR="00866FC6">
        <w:t>of these works.</w:t>
      </w:r>
      <w:r w:rsidRPr="0081180A">
        <w:t xml:space="preserve"> </w:t>
      </w:r>
    </w:p>
    <w:p w14:paraId="76DC4F5E" w14:textId="2FEF34AB" w:rsidR="0015153D" w:rsidRDefault="00866FC6" w:rsidP="0015153D">
      <w:r>
        <w:t xml:space="preserve">Following this projection, </w:t>
      </w:r>
      <w:r w:rsidR="00F57916">
        <w:t xml:space="preserve">it expected that KCL will be required to </w:t>
      </w:r>
      <w:r w:rsidR="0015153D" w:rsidRPr="0081180A">
        <w:t xml:space="preserve">investment </w:t>
      </w:r>
      <w:r>
        <w:t xml:space="preserve">a minimum of </w:t>
      </w:r>
      <w:r w:rsidR="0015153D" w:rsidRPr="0081180A">
        <w:t xml:space="preserve">£11,500,000 over four years or £2,879,000 per annum at current costs to successfully address our carbon challenge. </w:t>
      </w:r>
      <w:r w:rsidR="00F57916">
        <w:t xml:space="preserve">We have a rich project pipeline for 2015/16. A parallel focus must be maintained on surveying for additional projects. This </w:t>
      </w:r>
      <w:r w:rsidR="00DE6CB5">
        <w:t>could</w:t>
      </w:r>
      <w:r w:rsidR="00F57916">
        <w:t xml:space="preserve"> take the form of an energy performance contract (EPC). The ultimate challenge will be innovating to match the governance structure of an EPC with </w:t>
      </w:r>
      <w:r w:rsidR="00DE6CB5">
        <w:t>the deployment of internal resource</w:t>
      </w:r>
      <w:r w:rsidR="00F57916">
        <w:t>.</w:t>
      </w:r>
      <w:bookmarkStart w:id="3" w:name="_GoBack"/>
      <w:bookmarkEnd w:id="3"/>
    </w:p>
    <w:p w14:paraId="17F1CF97" w14:textId="77777777" w:rsidR="00F57916" w:rsidRDefault="00F57916">
      <w:pPr>
        <w:rPr>
          <w:rFonts w:asciiTheme="majorHAnsi" w:eastAsiaTheme="majorEastAsia" w:hAnsiTheme="majorHAnsi" w:cstheme="majorBidi"/>
          <w:color w:val="365F91" w:themeColor="accent1" w:themeShade="BF"/>
          <w:sz w:val="26"/>
          <w:szCs w:val="26"/>
        </w:rPr>
      </w:pPr>
      <w:r>
        <w:br w:type="page"/>
      </w:r>
    </w:p>
    <w:p w14:paraId="6E904E2C" w14:textId="20026BE4" w:rsidR="00BD1874" w:rsidRDefault="004C01F3" w:rsidP="004C01F3">
      <w:pPr>
        <w:pStyle w:val="Heading2"/>
      </w:pPr>
      <w:r>
        <w:lastRenderedPageBreak/>
        <w:t>Appendix A: Carbon Reduction Projects Complete during 2014/15</w:t>
      </w:r>
    </w:p>
    <w:p w14:paraId="7F253F61" w14:textId="2E99229B" w:rsidR="004C01F3" w:rsidRPr="004C01F3" w:rsidRDefault="004C01F3" w:rsidP="004C01F3">
      <w:r>
        <w:t>The following table outlines carbon reduction projects completed during 2014/15.</w:t>
      </w:r>
    </w:p>
    <w:tbl>
      <w:tblPr>
        <w:tblStyle w:val="GridTable4-Accent1"/>
        <w:tblW w:w="9177" w:type="dxa"/>
        <w:tblLook w:val="04A0" w:firstRow="1" w:lastRow="0" w:firstColumn="1" w:lastColumn="0" w:noHBand="0" w:noVBand="1"/>
      </w:tblPr>
      <w:tblGrid>
        <w:gridCol w:w="3539"/>
        <w:gridCol w:w="1278"/>
        <w:gridCol w:w="1132"/>
        <w:gridCol w:w="1134"/>
        <w:gridCol w:w="1122"/>
        <w:gridCol w:w="972"/>
      </w:tblGrid>
      <w:tr w:rsidR="004C01F3" w:rsidRPr="004C01F3" w14:paraId="11BCE395" w14:textId="77777777" w:rsidTr="00BD187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FEE3116" w14:textId="77777777" w:rsidR="0081180A" w:rsidRPr="004C01F3" w:rsidRDefault="0081180A" w:rsidP="00BD1874">
            <w:pPr>
              <w:keepNext/>
              <w:keepLines/>
              <w:rPr>
                <w:rFonts w:ascii="Calibri" w:eastAsia="Times New Roman" w:hAnsi="Calibri" w:cs="Times New Roman"/>
                <w:b w:val="0"/>
                <w:lang w:eastAsia="en-GB"/>
              </w:rPr>
            </w:pPr>
            <w:r w:rsidRPr="004C01F3">
              <w:rPr>
                <w:rFonts w:ascii="Calibri" w:eastAsia="Times New Roman" w:hAnsi="Calibri" w:cs="Times New Roman"/>
                <w:b w:val="0"/>
                <w:lang w:eastAsia="en-GB"/>
              </w:rPr>
              <w:t>Project description</w:t>
            </w:r>
          </w:p>
        </w:tc>
        <w:tc>
          <w:tcPr>
            <w:tcW w:w="1278" w:type="dxa"/>
            <w:noWrap/>
            <w:hideMark/>
          </w:tcPr>
          <w:p w14:paraId="4FDE0E8E" w14:textId="77777777" w:rsidR="0081180A" w:rsidRPr="004C01F3" w:rsidRDefault="0081180A" w:rsidP="00BD1874">
            <w:pPr>
              <w:keepNext/>
              <w:keepLine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lang w:eastAsia="en-GB"/>
              </w:rPr>
            </w:pPr>
            <w:r w:rsidRPr="004C01F3">
              <w:rPr>
                <w:rFonts w:ascii="Calibri" w:eastAsia="Times New Roman" w:hAnsi="Calibri" w:cs="Times New Roman"/>
                <w:b w:val="0"/>
                <w:lang w:eastAsia="en-GB"/>
              </w:rPr>
              <w:t>Date added</w:t>
            </w:r>
          </w:p>
        </w:tc>
        <w:tc>
          <w:tcPr>
            <w:tcW w:w="1132" w:type="dxa"/>
            <w:noWrap/>
            <w:hideMark/>
          </w:tcPr>
          <w:p w14:paraId="14E13734" w14:textId="71C9E0AB" w:rsidR="0081180A" w:rsidRPr="004C01F3" w:rsidRDefault="00BD1874" w:rsidP="00BD1874">
            <w:pPr>
              <w:keepNext/>
              <w:keepLine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lang w:eastAsia="en-GB"/>
              </w:rPr>
            </w:pPr>
            <w:r w:rsidRPr="004C01F3">
              <w:rPr>
                <w:rFonts w:ascii="Calibri" w:eastAsia="Times New Roman" w:hAnsi="Calibri" w:cs="Times New Roman"/>
                <w:b w:val="0"/>
                <w:lang w:eastAsia="en-GB"/>
              </w:rPr>
              <w:t>Project c</w:t>
            </w:r>
            <w:r w:rsidR="0081180A" w:rsidRPr="004C01F3">
              <w:rPr>
                <w:rFonts w:ascii="Calibri" w:eastAsia="Times New Roman" w:hAnsi="Calibri" w:cs="Times New Roman"/>
                <w:b w:val="0"/>
                <w:lang w:eastAsia="en-GB"/>
              </w:rPr>
              <w:t>ost</w:t>
            </w:r>
          </w:p>
        </w:tc>
        <w:tc>
          <w:tcPr>
            <w:tcW w:w="1134" w:type="dxa"/>
            <w:noWrap/>
            <w:hideMark/>
          </w:tcPr>
          <w:p w14:paraId="1F0F82A9" w14:textId="2145FCC6" w:rsidR="0081180A" w:rsidRPr="004C01F3" w:rsidRDefault="004C01F3" w:rsidP="00BD1874">
            <w:pPr>
              <w:keepNext/>
              <w:keepLine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lang w:eastAsia="en-GB"/>
              </w:rPr>
            </w:pPr>
            <w:r>
              <w:rPr>
                <w:rFonts w:ascii="Calibri" w:eastAsia="Times New Roman" w:hAnsi="Calibri" w:cs="Times New Roman"/>
                <w:b w:val="0"/>
                <w:lang w:eastAsia="en-GB"/>
              </w:rPr>
              <w:t>C</w:t>
            </w:r>
            <w:r w:rsidR="0081180A" w:rsidRPr="004C01F3">
              <w:rPr>
                <w:rFonts w:ascii="Calibri" w:eastAsia="Times New Roman" w:hAnsi="Calibri" w:cs="Times New Roman"/>
                <w:b w:val="0"/>
                <w:lang w:eastAsia="en-GB"/>
              </w:rPr>
              <w:t>ost savings</w:t>
            </w:r>
          </w:p>
        </w:tc>
        <w:tc>
          <w:tcPr>
            <w:tcW w:w="1122" w:type="dxa"/>
            <w:noWrap/>
            <w:hideMark/>
          </w:tcPr>
          <w:p w14:paraId="31144CC9" w14:textId="157E8532" w:rsidR="0081180A" w:rsidRPr="004C01F3" w:rsidRDefault="004C01F3" w:rsidP="004C01F3">
            <w:pPr>
              <w:keepNext/>
              <w:keepLine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lang w:eastAsia="en-GB"/>
              </w:rPr>
            </w:pPr>
            <w:r>
              <w:rPr>
                <w:rFonts w:ascii="Calibri" w:eastAsia="Times New Roman" w:hAnsi="Calibri" w:cs="Times New Roman"/>
                <w:b w:val="0"/>
                <w:lang w:eastAsia="en-GB"/>
              </w:rPr>
              <w:t>C</w:t>
            </w:r>
            <w:r w:rsidR="0081180A" w:rsidRPr="004C01F3">
              <w:rPr>
                <w:rFonts w:ascii="Calibri" w:eastAsia="Times New Roman" w:hAnsi="Calibri" w:cs="Times New Roman"/>
                <w:b w:val="0"/>
                <w:lang w:eastAsia="en-GB"/>
              </w:rPr>
              <w:t xml:space="preserve">arbon </w:t>
            </w:r>
            <w:r>
              <w:rPr>
                <w:rFonts w:ascii="Calibri" w:eastAsia="Times New Roman" w:hAnsi="Calibri" w:cs="Times New Roman"/>
                <w:b w:val="0"/>
                <w:lang w:eastAsia="en-GB"/>
              </w:rPr>
              <w:t>reduction</w:t>
            </w:r>
          </w:p>
        </w:tc>
        <w:tc>
          <w:tcPr>
            <w:tcW w:w="972" w:type="dxa"/>
            <w:noWrap/>
            <w:hideMark/>
          </w:tcPr>
          <w:p w14:paraId="72D2881E" w14:textId="601206BB" w:rsidR="0081180A" w:rsidRPr="004C01F3" w:rsidRDefault="004C01F3" w:rsidP="00BD1874">
            <w:pPr>
              <w:keepNext/>
              <w:keepLine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lang w:eastAsia="en-GB"/>
              </w:rPr>
            </w:pPr>
            <w:r w:rsidRPr="004C01F3">
              <w:rPr>
                <w:rFonts w:ascii="Calibri" w:eastAsia="Times New Roman" w:hAnsi="Calibri" w:cs="Times New Roman"/>
                <w:b w:val="0"/>
                <w:lang w:eastAsia="en-GB"/>
              </w:rPr>
              <w:t>S</w:t>
            </w:r>
            <w:r w:rsidR="0081180A" w:rsidRPr="004C01F3">
              <w:rPr>
                <w:rFonts w:ascii="Calibri" w:eastAsia="Times New Roman" w:hAnsi="Calibri" w:cs="Times New Roman"/>
                <w:b w:val="0"/>
                <w:lang w:eastAsia="en-GB"/>
              </w:rPr>
              <w:t>imple payback</w:t>
            </w:r>
            <w:r w:rsidRPr="004C01F3">
              <w:rPr>
                <w:rFonts w:ascii="Calibri" w:eastAsia="Times New Roman" w:hAnsi="Calibri" w:cs="Times New Roman"/>
                <w:b w:val="0"/>
                <w:lang w:eastAsia="en-GB"/>
              </w:rPr>
              <w:t xml:space="preserve"> (years)</w:t>
            </w:r>
          </w:p>
        </w:tc>
      </w:tr>
      <w:tr w:rsidR="00BD1874" w:rsidRPr="00AE5F7A" w14:paraId="08DF6928" w14:textId="77777777" w:rsidTr="00BD18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6738833" w14:textId="77777777" w:rsidR="0081180A" w:rsidRPr="0081180A" w:rsidRDefault="0081180A" w:rsidP="00BD1874">
            <w:pPr>
              <w:keepNext/>
              <w:keepLines/>
              <w:rPr>
                <w:rFonts w:ascii="Calibri" w:eastAsia="Times New Roman" w:hAnsi="Calibri" w:cs="Times New Roman"/>
                <w:b w:val="0"/>
                <w:color w:val="000000"/>
                <w:sz w:val="20"/>
                <w:szCs w:val="20"/>
                <w:lang w:eastAsia="en-GB"/>
              </w:rPr>
            </w:pPr>
            <w:proofErr w:type="spellStart"/>
            <w:r w:rsidRPr="0081180A">
              <w:rPr>
                <w:rFonts w:ascii="Calibri" w:eastAsia="Times New Roman" w:hAnsi="Calibri" w:cs="Times New Roman"/>
                <w:b w:val="0"/>
                <w:color w:val="000000"/>
                <w:sz w:val="20"/>
                <w:szCs w:val="20"/>
                <w:lang w:eastAsia="en-GB"/>
              </w:rPr>
              <w:t>Wellcome</w:t>
            </w:r>
            <w:proofErr w:type="spellEnd"/>
            <w:r w:rsidRPr="0081180A">
              <w:rPr>
                <w:rFonts w:ascii="Calibri" w:eastAsia="Times New Roman" w:hAnsi="Calibri" w:cs="Times New Roman"/>
                <w:b w:val="0"/>
                <w:color w:val="000000"/>
                <w:sz w:val="20"/>
                <w:szCs w:val="20"/>
                <w:lang w:eastAsia="en-GB"/>
              </w:rPr>
              <w:t xml:space="preserve"> project LED and controls</w:t>
            </w:r>
          </w:p>
        </w:tc>
        <w:tc>
          <w:tcPr>
            <w:tcW w:w="1278" w:type="dxa"/>
            <w:noWrap/>
            <w:hideMark/>
          </w:tcPr>
          <w:p w14:paraId="693CC16D"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19/03/2015</w:t>
            </w:r>
          </w:p>
        </w:tc>
        <w:tc>
          <w:tcPr>
            <w:tcW w:w="1132" w:type="dxa"/>
            <w:noWrap/>
            <w:hideMark/>
          </w:tcPr>
          <w:p w14:paraId="5AD55594" w14:textId="77C82001" w:rsidR="0081180A" w:rsidRPr="0081180A" w:rsidRDefault="00BD1874"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AE5F7A">
              <w:rPr>
                <w:rFonts w:ascii="Calibri" w:eastAsia="Times New Roman" w:hAnsi="Calibri" w:cs="Times New Roman"/>
                <w:color w:val="000000"/>
                <w:sz w:val="20"/>
                <w:szCs w:val="20"/>
                <w:lang w:eastAsia="en-GB"/>
              </w:rPr>
              <w:t>£</w:t>
            </w:r>
            <w:r w:rsidR="0081180A" w:rsidRPr="0081180A">
              <w:rPr>
                <w:rFonts w:ascii="Calibri" w:eastAsia="Times New Roman" w:hAnsi="Calibri" w:cs="Times New Roman"/>
                <w:color w:val="000000"/>
                <w:sz w:val="20"/>
                <w:szCs w:val="20"/>
                <w:lang w:eastAsia="en-GB"/>
              </w:rPr>
              <w:t>19</w:t>
            </w:r>
            <w:r w:rsidRPr="00AE5F7A">
              <w:rPr>
                <w:rFonts w:ascii="Calibri" w:eastAsia="Times New Roman" w:hAnsi="Calibri" w:cs="Times New Roman"/>
                <w:color w:val="000000"/>
                <w:sz w:val="20"/>
                <w:szCs w:val="20"/>
                <w:lang w:eastAsia="en-GB"/>
              </w:rPr>
              <w:t>,</w:t>
            </w:r>
            <w:r w:rsidR="0081180A" w:rsidRPr="0081180A">
              <w:rPr>
                <w:rFonts w:ascii="Calibri" w:eastAsia="Times New Roman" w:hAnsi="Calibri" w:cs="Times New Roman"/>
                <w:color w:val="000000"/>
                <w:sz w:val="20"/>
                <w:szCs w:val="20"/>
                <w:lang w:eastAsia="en-GB"/>
              </w:rPr>
              <w:t>584</w:t>
            </w:r>
          </w:p>
        </w:tc>
        <w:tc>
          <w:tcPr>
            <w:tcW w:w="1134" w:type="dxa"/>
            <w:noWrap/>
            <w:hideMark/>
          </w:tcPr>
          <w:p w14:paraId="4540E695" w14:textId="535679FE" w:rsidR="0081180A" w:rsidRPr="0081180A" w:rsidRDefault="00BD1874"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AE5F7A">
              <w:rPr>
                <w:rFonts w:ascii="Calibri" w:eastAsia="Times New Roman" w:hAnsi="Calibri" w:cs="Times New Roman"/>
                <w:color w:val="000000"/>
                <w:sz w:val="20"/>
                <w:szCs w:val="20"/>
                <w:lang w:eastAsia="en-GB"/>
              </w:rPr>
              <w:t>£</w:t>
            </w:r>
            <w:r w:rsidR="0081180A" w:rsidRPr="0081180A">
              <w:rPr>
                <w:rFonts w:ascii="Calibri" w:eastAsia="Times New Roman" w:hAnsi="Calibri" w:cs="Times New Roman"/>
                <w:color w:val="000000"/>
                <w:sz w:val="20"/>
                <w:szCs w:val="20"/>
                <w:lang w:eastAsia="en-GB"/>
              </w:rPr>
              <w:t xml:space="preserve">5,546 </w:t>
            </w:r>
          </w:p>
        </w:tc>
        <w:tc>
          <w:tcPr>
            <w:tcW w:w="1122" w:type="dxa"/>
            <w:noWrap/>
            <w:hideMark/>
          </w:tcPr>
          <w:p w14:paraId="65DAB778"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20.0</w:t>
            </w:r>
          </w:p>
        </w:tc>
        <w:tc>
          <w:tcPr>
            <w:tcW w:w="972" w:type="dxa"/>
            <w:noWrap/>
            <w:hideMark/>
          </w:tcPr>
          <w:p w14:paraId="12BD7287"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3.5</w:t>
            </w:r>
          </w:p>
        </w:tc>
      </w:tr>
      <w:tr w:rsidR="00BD1874" w:rsidRPr="00AE5F7A" w14:paraId="319897D1" w14:textId="77777777" w:rsidTr="00BD1874">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DD1DB46" w14:textId="77777777" w:rsidR="0081180A" w:rsidRPr="0081180A" w:rsidRDefault="0081180A" w:rsidP="00BD1874">
            <w:pPr>
              <w:keepNext/>
              <w:keepLines/>
              <w:rPr>
                <w:rFonts w:ascii="Calibri" w:eastAsia="Times New Roman" w:hAnsi="Calibri" w:cs="Times New Roman"/>
                <w:b w:val="0"/>
                <w:color w:val="000000"/>
                <w:sz w:val="20"/>
                <w:szCs w:val="20"/>
                <w:lang w:eastAsia="en-GB"/>
              </w:rPr>
            </w:pPr>
            <w:r w:rsidRPr="0081180A">
              <w:rPr>
                <w:rFonts w:ascii="Calibri" w:eastAsia="Times New Roman" w:hAnsi="Calibri" w:cs="Times New Roman"/>
                <w:b w:val="0"/>
                <w:color w:val="000000"/>
                <w:sz w:val="20"/>
                <w:szCs w:val="20"/>
                <w:lang w:eastAsia="en-GB"/>
              </w:rPr>
              <w:t>Maughan Library lighting system to Building Management System interfacing</w:t>
            </w:r>
          </w:p>
        </w:tc>
        <w:tc>
          <w:tcPr>
            <w:tcW w:w="1278" w:type="dxa"/>
            <w:noWrap/>
            <w:hideMark/>
          </w:tcPr>
          <w:p w14:paraId="76D61206" w14:textId="77777777" w:rsidR="0081180A" w:rsidRPr="0081180A" w:rsidRDefault="0081180A" w:rsidP="00BD1874">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31/03/2015</w:t>
            </w:r>
          </w:p>
        </w:tc>
        <w:tc>
          <w:tcPr>
            <w:tcW w:w="1132" w:type="dxa"/>
            <w:noWrap/>
            <w:hideMark/>
          </w:tcPr>
          <w:p w14:paraId="0D7E6B4A" w14:textId="5380C7FD" w:rsidR="0081180A" w:rsidRPr="0081180A" w:rsidRDefault="00BD1874"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AE5F7A">
              <w:rPr>
                <w:rFonts w:ascii="Calibri" w:eastAsia="Times New Roman" w:hAnsi="Calibri" w:cs="Times New Roman"/>
                <w:color w:val="000000"/>
                <w:sz w:val="20"/>
                <w:szCs w:val="20"/>
                <w:lang w:eastAsia="en-GB"/>
              </w:rPr>
              <w:t>£18,292</w:t>
            </w:r>
          </w:p>
        </w:tc>
        <w:tc>
          <w:tcPr>
            <w:tcW w:w="1134" w:type="dxa"/>
            <w:noWrap/>
            <w:hideMark/>
          </w:tcPr>
          <w:p w14:paraId="45E6BA24" w14:textId="4A27FFA0"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 xml:space="preserve">£5,793 </w:t>
            </w:r>
          </w:p>
        </w:tc>
        <w:tc>
          <w:tcPr>
            <w:tcW w:w="1122" w:type="dxa"/>
            <w:noWrap/>
            <w:hideMark/>
          </w:tcPr>
          <w:p w14:paraId="3F7FE320"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20.9</w:t>
            </w:r>
          </w:p>
        </w:tc>
        <w:tc>
          <w:tcPr>
            <w:tcW w:w="972" w:type="dxa"/>
            <w:noWrap/>
            <w:hideMark/>
          </w:tcPr>
          <w:p w14:paraId="2839199E"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3.2</w:t>
            </w:r>
          </w:p>
        </w:tc>
      </w:tr>
      <w:tr w:rsidR="00BD1874" w:rsidRPr="00AE5F7A" w14:paraId="1A8EF6F3" w14:textId="77777777" w:rsidTr="00BD18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6050976" w14:textId="1CDCF816" w:rsidR="0081180A" w:rsidRPr="0081180A" w:rsidRDefault="00BD1874" w:rsidP="00BD1874">
            <w:pPr>
              <w:keepNext/>
              <w:keepLines/>
              <w:rPr>
                <w:rFonts w:ascii="Calibri" w:eastAsia="Times New Roman" w:hAnsi="Calibri" w:cs="Times New Roman"/>
                <w:b w:val="0"/>
                <w:color w:val="000000"/>
                <w:sz w:val="20"/>
                <w:szCs w:val="20"/>
                <w:lang w:eastAsia="en-GB"/>
              </w:rPr>
            </w:pPr>
            <w:r w:rsidRPr="00AE5F7A">
              <w:rPr>
                <w:rFonts w:ascii="Calibri" w:eastAsia="Times New Roman" w:hAnsi="Calibri" w:cs="Times New Roman"/>
                <w:b w:val="0"/>
                <w:color w:val="000000"/>
                <w:sz w:val="20"/>
                <w:szCs w:val="20"/>
                <w:lang w:eastAsia="en-GB"/>
              </w:rPr>
              <w:t>Hodgkin</w:t>
            </w:r>
            <w:r w:rsidR="0081180A" w:rsidRPr="0081180A">
              <w:rPr>
                <w:rFonts w:ascii="Calibri" w:eastAsia="Times New Roman" w:hAnsi="Calibri" w:cs="Times New Roman"/>
                <w:b w:val="0"/>
                <w:color w:val="000000"/>
                <w:sz w:val="20"/>
                <w:szCs w:val="20"/>
                <w:lang w:eastAsia="en-GB"/>
              </w:rPr>
              <w:t xml:space="preserve"> corridor lighting</w:t>
            </w:r>
          </w:p>
        </w:tc>
        <w:tc>
          <w:tcPr>
            <w:tcW w:w="1278" w:type="dxa"/>
            <w:noWrap/>
            <w:hideMark/>
          </w:tcPr>
          <w:p w14:paraId="4A48DA38"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19/03/2015</w:t>
            </w:r>
          </w:p>
        </w:tc>
        <w:tc>
          <w:tcPr>
            <w:tcW w:w="1132" w:type="dxa"/>
            <w:noWrap/>
            <w:hideMark/>
          </w:tcPr>
          <w:p w14:paraId="67E874D4" w14:textId="0E85180B" w:rsidR="0081180A" w:rsidRPr="0081180A" w:rsidRDefault="00BD1874"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AE5F7A">
              <w:rPr>
                <w:rFonts w:ascii="Calibri" w:eastAsia="Times New Roman" w:hAnsi="Calibri" w:cs="Times New Roman"/>
                <w:color w:val="000000"/>
                <w:sz w:val="20"/>
                <w:szCs w:val="20"/>
                <w:lang w:eastAsia="en-GB"/>
              </w:rPr>
              <w:t>£</w:t>
            </w:r>
            <w:r w:rsidR="0081180A" w:rsidRPr="0081180A">
              <w:rPr>
                <w:rFonts w:ascii="Calibri" w:eastAsia="Times New Roman" w:hAnsi="Calibri" w:cs="Times New Roman"/>
                <w:color w:val="000000"/>
                <w:sz w:val="20"/>
                <w:szCs w:val="20"/>
                <w:lang w:eastAsia="en-GB"/>
              </w:rPr>
              <w:t>40</w:t>
            </w:r>
            <w:r w:rsidRPr="00AE5F7A">
              <w:rPr>
                <w:rFonts w:ascii="Calibri" w:eastAsia="Times New Roman" w:hAnsi="Calibri" w:cs="Times New Roman"/>
                <w:color w:val="000000"/>
                <w:sz w:val="20"/>
                <w:szCs w:val="20"/>
                <w:lang w:eastAsia="en-GB"/>
              </w:rPr>
              <w:t>,</w:t>
            </w:r>
            <w:r w:rsidR="0081180A" w:rsidRPr="0081180A">
              <w:rPr>
                <w:rFonts w:ascii="Calibri" w:eastAsia="Times New Roman" w:hAnsi="Calibri" w:cs="Times New Roman"/>
                <w:color w:val="000000"/>
                <w:sz w:val="20"/>
                <w:szCs w:val="20"/>
                <w:lang w:eastAsia="en-GB"/>
              </w:rPr>
              <w:t>728</w:t>
            </w:r>
          </w:p>
        </w:tc>
        <w:tc>
          <w:tcPr>
            <w:tcW w:w="1134" w:type="dxa"/>
            <w:noWrap/>
            <w:hideMark/>
          </w:tcPr>
          <w:p w14:paraId="5BD6C4BA" w14:textId="6463036D"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 xml:space="preserve">£10,382 </w:t>
            </w:r>
          </w:p>
        </w:tc>
        <w:tc>
          <w:tcPr>
            <w:tcW w:w="1122" w:type="dxa"/>
            <w:noWrap/>
            <w:hideMark/>
          </w:tcPr>
          <w:p w14:paraId="5945F9FF"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37.5</w:t>
            </w:r>
          </w:p>
        </w:tc>
        <w:tc>
          <w:tcPr>
            <w:tcW w:w="972" w:type="dxa"/>
            <w:noWrap/>
            <w:hideMark/>
          </w:tcPr>
          <w:p w14:paraId="6C949116"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3.9</w:t>
            </w:r>
          </w:p>
        </w:tc>
      </w:tr>
      <w:tr w:rsidR="00BD1874" w:rsidRPr="00AE5F7A" w14:paraId="70CF9478" w14:textId="77777777" w:rsidTr="00BD1874">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9A488CA" w14:textId="77777777" w:rsidR="0081180A" w:rsidRPr="0081180A" w:rsidRDefault="0081180A" w:rsidP="00BD1874">
            <w:pPr>
              <w:keepNext/>
              <w:keepLines/>
              <w:rPr>
                <w:rFonts w:ascii="Calibri" w:eastAsia="Times New Roman" w:hAnsi="Calibri" w:cs="Times New Roman"/>
                <w:b w:val="0"/>
                <w:color w:val="000000"/>
                <w:sz w:val="20"/>
                <w:szCs w:val="20"/>
                <w:lang w:eastAsia="en-GB"/>
              </w:rPr>
            </w:pPr>
            <w:r w:rsidRPr="0081180A">
              <w:rPr>
                <w:rFonts w:ascii="Calibri" w:eastAsia="Times New Roman" w:hAnsi="Calibri" w:cs="Times New Roman"/>
                <w:b w:val="0"/>
                <w:color w:val="000000"/>
                <w:sz w:val="20"/>
                <w:szCs w:val="20"/>
                <w:lang w:eastAsia="en-GB"/>
              </w:rPr>
              <w:t>Hodgkin building central staircase LED conversion</w:t>
            </w:r>
          </w:p>
        </w:tc>
        <w:tc>
          <w:tcPr>
            <w:tcW w:w="1278" w:type="dxa"/>
            <w:noWrap/>
            <w:hideMark/>
          </w:tcPr>
          <w:p w14:paraId="38209649"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19/03/2015</w:t>
            </w:r>
          </w:p>
        </w:tc>
        <w:tc>
          <w:tcPr>
            <w:tcW w:w="1132" w:type="dxa"/>
            <w:noWrap/>
            <w:hideMark/>
          </w:tcPr>
          <w:p w14:paraId="55322D62" w14:textId="22F81D63" w:rsidR="0081180A" w:rsidRPr="0081180A" w:rsidRDefault="00BD1874"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AE5F7A">
              <w:rPr>
                <w:rFonts w:ascii="Calibri" w:eastAsia="Times New Roman" w:hAnsi="Calibri" w:cs="Times New Roman"/>
                <w:color w:val="000000"/>
                <w:sz w:val="20"/>
                <w:szCs w:val="20"/>
                <w:lang w:eastAsia="en-GB"/>
              </w:rPr>
              <w:t>£14,440</w:t>
            </w:r>
          </w:p>
        </w:tc>
        <w:tc>
          <w:tcPr>
            <w:tcW w:w="1134" w:type="dxa"/>
            <w:noWrap/>
            <w:hideMark/>
          </w:tcPr>
          <w:p w14:paraId="0103F1A8" w14:textId="67A213A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 xml:space="preserve">£4,432 </w:t>
            </w:r>
          </w:p>
        </w:tc>
        <w:tc>
          <w:tcPr>
            <w:tcW w:w="1122" w:type="dxa"/>
            <w:noWrap/>
            <w:hideMark/>
          </w:tcPr>
          <w:p w14:paraId="0F5A6079"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16.0</w:t>
            </w:r>
          </w:p>
        </w:tc>
        <w:tc>
          <w:tcPr>
            <w:tcW w:w="972" w:type="dxa"/>
            <w:noWrap/>
            <w:hideMark/>
          </w:tcPr>
          <w:p w14:paraId="1933BC68"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3.3</w:t>
            </w:r>
          </w:p>
        </w:tc>
      </w:tr>
      <w:tr w:rsidR="00BD1874" w:rsidRPr="00AE5F7A" w14:paraId="1B5BBD79" w14:textId="77777777" w:rsidTr="00BD18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67FA801" w14:textId="77777777" w:rsidR="0081180A" w:rsidRPr="0081180A" w:rsidRDefault="0081180A" w:rsidP="00BD1874">
            <w:pPr>
              <w:keepNext/>
              <w:keepLines/>
              <w:rPr>
                <w:rFonts w:ascii="Calibri" w:eastAsia="Times New Roman" w:hAnsi="Calibri" w:cs="Times New Roman"/>
                <w:b w:val="0"/>
                <w:color w:val="000000"/>
                <w:sz w:val="20"/>
                <w:szCs w:val="20"/>
                <w:lang w:eastAsia="en-GB"/>
              </w:rPr>
            </w:pPr>
            <w:r w:rsidRPr="0081180A">
              <w:rPr>
                <w:rFonts w:ascii="Calibri" w:eastAsia="Times New Roman" w:hAnsi="Calibri" w:cs="Times New Roman"/>
                <w:b w:val="0"/>
                <w:color w:val="000000"/>
                <w:sz w:val="20"/>
                <w:szCs w:val="20"/>
                <w:lang w:eastAsia="en-GB"/>
              </w:rPr>
              <w:t>Macadam -3 corridor lighting upgrade LED</w:t>
            </w:r>
          </w:p>
        </w:tc>
        <w:tc>
          <w:tcPr>
            <w:tcW w:w="1278" w:type="dxa"/>
            <w:noWrap/>
            <w:hideMark/>
          </w:tcPr>
          <w:p w14:paraId="4A5D1FE1"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19/03/2015</w:t>
            </w:r>
          </w:p>
        </w:tc>
        <w:tc>
          <w:tcPr>
            <w:tcW w:w="1132" w:type="dxa"/>
            <w:noWrap/>
            <w:hideMark/>
          </w:tcPr>
          <w:p w14:paraId="719CDBB1" w14:textId="238C2C11" w:rsidR="0081180A" w:rsidRPr="0081180A" w:rsidRDefault="00BD1874"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AE5F7A">
              <w:rPr>
                <w:rFonts w:ascii="Calibri" w:eastAsia="Times New Roman" w:hAnsi="Calibri" w:cs="Times New Roman"/>
                <w:color w:val="000000"/>
                <w:sz w:val="20"/>
                <w:szCs w:val="20"/>
                <w:lang w:eastAsia="en-GB"/>
              </w:rPr>
              <w:t>£2,559</w:t>
            </w:r>
          </w:p>
        </w:tc>
        <w:tc>
          <w:tcPr>
            <w:tcW w:w="1134" w:type="dxa"/>
            <w:noWrap/>
            <w:hideMark/>
          </w:tcPr>
          <w:p w14:paraId="29A51727" w14:textId="09727BD6"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w:t>
            </w:r>
            <w:r w:rsidR="00BD1874" w:rsidRPr="00AE5F7A">
              <w:rPr>
                <w:rFonts w:ascii="Calibri" w:eastAsia="Times New Roman" w:hAnsi="Calibri" w:cs="Times New Roman"/>
                <w:color w:val="000000"/>
                <w:sz w:val="20"/>
                <w:szCs w:val="20"/>
                <w:lang w:eastAsia="en-GB"/>
              </w:rPr>
              <w:t>1,</w:t>
            </w:r>
            <w:r w:rsidRPr="0081180A">
              <w:rPr>
                <w:rFonts w:ascii="Calibri" w:eastAsia="Times New Roman" w:hAnsi="Calibri" w:cs="Times New Roman"/>
                <w:color w:val="000000"/>
                <w:sz w:val="20"/>
                <w:szCs w:val="20"/>
                <w:lang w:eastAsia="en-GB"/>
              </w:rPr>
              <w:t xml:space="preserve">275 </w:t>
            </w:r>
          </w:p>
        </w:tc>
        <w:tc>
          <w:tcPr>
            <w:tcW w:w="1122" w:type="dxa"/>
            <w:noWrap/>
            <w:hideMark/>
          </w:tcPr>
          <w:p w14:paraId="3D7604C4"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4.6</w:t>
            </w:r>
          </w:p>
        </w:tc>
        <w:tc>
          <w:tcPr>
            <w:tcW w:w="972" w:type="dxa"/>
            <w:noWrap/>
            <w:hideMark/>
          </w:tcPr>
          <w:p w14:paraId="73A1A59F"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2.0</w:t>
            </w:r>
          </w:p>
        </w:tc>
      </w:tr>
      <w:tr w:rsidR="00BD1874" w:rsidRPr="00AE5F7A" w14:paraId="1DB4C2AA" w14:textId="77777777" w:rsidTr="00BD1874">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9809669" w14:textId="77777777" w:rsidR="0081180A" w:rsidRPr="0081180A" w:rsidRDefault="0081180A" w:rsidP="00BD1874">
            <w:pPr>
              <w:keepNext/>
              <w:keepLines/>
              <w:rPr>
                <w:rFonts w:ascii="Calibri" w:eastAsia="Times New Roman" w:hAnsi="Calibri" w:cs="Times New Roman"/>
                <w:b w:val="0"/>
                <w:color w:val="000000"/>
                <w:sz w:val="20"/>
                <w:szCs w:val="20"/>
                <w:lang w:eastAsia="en-GB"/>
              </w:rPr>
            </w:pPr>
            <w:r w:rsidRPr="0081180A">
              <w:rPr>
                <w:rFonts w:ascii="Calibri" w:eastAsia="Times New Roman" w:hAnsi="Calibri" w:cs="Times New Roman"/>
                <w:b w:val="0"/>
                <w:color w:val="000000"/>
                <w:sz w:val="20"/>
                <w:szCs w:val="20"/>
                <w:lang w:eastAsia="en-GB"/>
              </w:rPr>
              <w:t>Research Freezer Controls on Guy's campus</w:t>
            </w:r>
          </w:p>
        </w:tc>
        <w:tc>
          <w:tcPr>
            <w:tcW w:w="1278" w:type="dxa"/>
            <w:noWrap/>
            <w:hideMark/>
          </w:tcPr>
          <w:p w14:paraId="4517109D"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19/03/2015</w:t>
            </w:r>
          </w:p>
        </w:tc>
        <w:tc>
          <w:tcPr>
            <w:tcW w:w="1132" w:type="dxa"/>
            <w:noWrap/>
            <w:hideMark/>
          </w:tcPr>
          <w:p w14:paraId="20E5220A" w14:textId="53835E7E" w:rsidR="0081180A" w:rsidRPr="0081180A" w:rsidRDefault="00BD1874"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AE5F7A">
              <w:rPr>
                <w:rFonts w:ascii="Calibri" w:eastAsia="Times New Roman" w:hAnsi="Calibri" w:cs="Times New Roman"/>
                <w:color w:val="000000"/>
                <w:sz w:val="20"/>
                <w:szCs w:val="20"/>
                <w:lang w:eastAsia="en-GB"/>
              </w:rPr>
              <w:t>£16,756</w:t>
            </w:r>
          </w:p>
        </w:tc>
        <w:tc>
          <w:tcPr>
            <w:tcW w:w="1134" w:type="dxa"/>
            <w:noWrap/>
            <w:hideMark/>
          </w:tcPr>
          <w:p w14:paraId="1157ACA8" w14:textId="0EA6D880"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 xml:space="preserve">£8,996 </w:t>
            </w:r>
          </w:p>
        </w:tc>
        <w:tc>
          <w:tcPr>
            <w:tcW w:w="1122" w:type="dxa"/>
            <w:noWrap/>
            <w:hideMark/>
          </w:tcPr>
          <w:p w14:paraId="6B876665"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32.5</w:t>
            </w:r>
          </w:p>
        </w:tc>
        <w:tc>
          <w:tcPr>
            <w:tcW w:w="972" w:type="dxa"/>
            <w:noWrap/>
            <w:hideMark/>
          </w:tcPr>
          <w:p w14:paraId="447027D4"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1.9</w:t>
            </w:r>
          </w:p>
        </w:tc>
      </w:tr>
      <w:tr w:rsidR="00BD1874" w:rsidRPr="00AE5F7A" w14:paraId="6EAE78C0" w14:textId="77777777" w:rsidTr="00BD18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A9CB4A5" w14:textId="77777777" w:rsidR="0081180A" w:rsidRPr="0081180A" w:rsidRDefault="0081180A" w:rsidP="00BD1874">
            <w:pPr>
              <w:keepNext/>
              <w:keepLines/>
              <w:rPr>
                <w:rFonts w:ascii="Calibri" w:eastAsia="Times New Roman" w:hAnsi="Calibri" w:cs="Times New Roman"/>
                <w:b w:val="0"/>
                <w:color w:val="000000"/>
                <w:sz w:val="20"/>
                <w:szCs w:val="20"/>
                <w:lang w:eastAsia="en-GB"/>
              </w:rPr>
            </w:pPr>
            <w:r w:rsidRPr="0081180A">
              <w:rPr>
                <w:rFonts w:ascii="Calibri" w:eastAsia="Times New Roman" w:hAnsi="Calibri" w:cs="Times New Roman"/>
                <w:b w:val="0"/>
                <w:color w:val="000000"/>
                <w:sz w:val="20"/>
                <w:szCs w:val="20"/>
                <w:lang w:eastAsia="en-GB"/>
              </w:rPr>
              <w:t>Harris Lecture Theatre LED conversion</w:t>
            </w:r>
          </w:p>
        </w:tc>
        <w:tc>
          <w:tcPr>
            <w:tcW w:w="1278" w:type="dxa"/>
            <w:noWrap/>
            <w:hideMark/>
          </w:tcPr>
          <w:p w14:paraId="28CB0352"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19/03/2015</w:t>
            </w:r>
          </w:p>
        </w:tc>
        <w:tc>
          <w:tcPr>
            <w:tcW w:w="1132" w:type="dxa"/>
            <w:noWrap/>
            <w:hideMark/>
          </w:tcPr>
          <w:p w14:paraId="0F4B316A" w14:textId="71CCEB33" w:rsidR="0081180A" w:rsidRPr="0081180A" w:rsidRDefault="00BD1874"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AE5F7A">
              <w:rPr>
                <w:rFonts w:ascii="Calibri" w:eastAsia="Times New Roman" w:hAnsi="Calibri" w:cs="Times New Roman"/>
                <w:color w:val="000000"/>
                <w:sz w:val="20"/>
                <w:szCs w:val="20"/>
                <w:lang w:eastAsia="en-GB"/>
              </w:rPr>
              <w:t>£</w:t>
            </w:r>
            <w:r w:rsidR="0081180A" w:rsidRPr="0081180A">
              <w:rPr>
                <w:rFonts w:ascii="Calibri" w:eastAsia="Times New Roman" w:hAnsi="Calibri" w:cs="Times New Roman"/>
                <w:color w:val="000000"/>
                <w:sz w:val="20"/>
                <w:szCs w:val="20"/>
                <w:lang w:eastAsia="en-GB"/>
              </w:rPr>
              <w:t>8</w:t>
            </w:r>
            <w:r w:rsidRPr="00AE5F7A">
              <w:rPr>
                <w:rFonts w:ascii="Calibri" w:eastAsia="Times New Roman" w:hAnsi="Calibri" w:cs="Times New Roman"/>
                <w:color w:val="000000"/>
                <w:sz w:val="20"/>
                <w:szCs w:val="20"/>
                <w:lang w:eastAsia="en-GB"/>
              </w:rPr>
              <w:t>,</w:t>
            </w:r>
            <w:r w:rsidR="0081180A" w:rsidRPr="0081180A">
              <w:rPr>
                <w:rFonts w:ascii="Calibri" w:eastAsia="Times New Roman" w:hAnsi="Calibri" w:cs="Times New Roman"/>
                <w:color w:val="000000"/>
                <w:sz w:val="20"/>
                <w:szCs w:val="20"/>
                <w:lang w:eastAsia="en-GB"/>
              </w:rPr>
              <w:t>062</w:t>
            </w:r>
          </w:p>
        </w:tc>
        <w:tc>
          <w:tcPr>
            <w:tcW w:w="1134" w:type="dxa"/>
            <w:noWrap/>
            <w:hideMark/>
          </w:tcPr>
          <w:p w14:paraId="52B37411" w14:textId="7BC42EE1"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 xml:space="preserve">£1,723 </w:t>
            </w:r>
          </w:p>
        </w:tc>
        <w:tc>
          <w:tcPr>
            <w:tcW w:w="1122" w:type="dxa"/>
            <w:noWrap/>
            <w:hideMark/>
          </w:tcPr>
          <w:p w14:paraId="497891BB"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6.2</w:t>
            </w:r>
          </w:p>
        </w:tc>
        <w:tc>
          <w:tcPr>
            <w:tcW w:w="972" w:type="dxa"/>
            <w:noWrap/>
            <w:hideMark/>
          </w:tcPr>
          <w:p w14:paraId="317B9FCE"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4.7</w:t>
            </w:r>
          </w:p>
        </w:tc>
      </w:tr>
      <w:tr w:rsidR="00BD1874" w:rsidRPr="00AE5F7A" w14:paraId="2AEDA094" w14:textId="77777777" w:rsidTr="00BD1874">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65B5290" w14:textId="77777777" w:rsidR="0081180A" w:rsidRPr="0081180A" w:rsidRDefault="0081180A" w:rsidP="00BD1874">
            <w:pPr>
              <w:keepNext/>
              <w:keepLines/>
              <w:rPr>
                <w:rFonts w:ascii="Calibri" w:eastAsia="Times New Roman" w:hAnsi="Calibri" w:cs="Times New Roman"/>
                <w:b w:val="0"/>
                <w:color w:val="000000"/>
                <w:sz w:val="20"/>
                <w:szCs w:val="20"/>
                <w:lang w:eastAsia="en-GB"/>
              </w:rPr>
            </w:pPr>
            <w:r w:rsidRPr="0081180A">
              <w:rPr>
                <w:rFonts w:ascii="Calibri" w:eastAsia="Times New Roman" w:hAnsi="Calibri" w:cs="Times New Roman"/>
                <w:b w:val="0"/>
                <w:color w:val="000000"/>
                <w:sz w:val="20"/>
                <w:szCs w:val="20"/>
                <w:lang w:eastAsia="en-GB"/>
              </w:rPr>
              <w:t>Anatomy lecture theatre (Hodgkin)</w:t>
            </w:r>
          </w:p>
        </w:tc>
        <w:tc>
          <w:tcPr>
            <w:tcW w:w="1278" w:type="dxa"/>
            <w:noWrap/>
            <w:hideMark/>
          </w:tcPr>
          <w:p w14:paraId="687B3F0B"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19/03/2015</w:t>
            </w:r>
          </w:p>
        </w:tc>
        <w:tc>
          <w:tcPr>
            <w:tcW w:w="1132" w:type="dxa"/>
            <w:noWrap/>
            <w:hideMark/>
          </w:tcPr>
          <w:p w14:paraId="5B2E75F1" w14:textId="5D680527" w:rsidR="0081180A" w:rsidRPr="0081180A" w:rsidRDefault="00BD1874"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AE5F7A">
              <w:rPr>
                <w:rFonts w:ascii="Calibri" w:eastAsia="Times New Roman" w:hAnsi="Calibri" w:cs="Times New Roman"/>
                <w:color w:val="000000"/>
                <w:sz w:val="20"/>
                <w:szCs w:val="20"/>
                <w:lang w:eastAsia="en-GB"/>
              </w:rPr>
              <w:t>£6,776</w:t>
            </w:r>
          </w:p>
        </w:tc>
        <w:tc>
          <w:tcPr>
            <w:tcW w:w="1134" w:type="dxa"/>
            <w:noWrap/>
            <w:hideMark/>
          </w:tcPr>
          <w:p w14:paraId="206F7C70" w14:textId="2BC2BA54"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 xml:space="preserve">£1,446 </w:t>
            </w:r>
          </w:p>
        </w:tc>
        <w:tc>
          <w:tcPr>
            <w:tcW w:w="1122" w:type="dxa"/>
            <w:noWrap/>
            <w:hideMark/>
          </w:tcPr>
          <w:p w14:paraId="70059F04"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5.2</w:t>
            </w:r>
          </w:p>
        </w:tc>
        <w:tc>
          <w:tcPr>
            <w:tcW w:w="972" w:type="dxa"/>
            <w:noWrap/>
            <w:hideMark/>
          </w:tcPr>
          <w:p w14:paraId="22B23D7D"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4.7</w:t>
            </w:r>
          </w:p>
        </w:tc>
      </w:tr>
      <w:tr w:rsidR="00BD1874" w:rsidRPr="00AE5F7A" w14:paraId="078AC25A" w14:textId="77777777" w:rsidTr="00BD18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9362222" w14:textId="77777777" w:rsidR="0081180A" w:rsidRPr="0081180A" w:rsidRDefault="0081180A" w:rsidP="00BD1874">
            <w:pPr>
              <w:keepNext/>
              <w:keepLines/>
              <w:rPr>
                <w:rFonts w:ascii="Calibri" w:eastAsia="Times New Roman" w:hAnsi="Calibri" w:cs="Times New Roman"/>
                <w:b w:val="0"/>
                <w:color w:val="000000"/>
                <w:sz w:val="20"/>
                <w:szCs w:val="20"/>
                <w:lang w:eastAsia="en-GB"/>
              </w:rPr>
            </w:pPr>
            <w:r w:rsidRPr="0081180A">
              <w:rPr>
                <w:rFonts w:ascii="Calibri" w:eastAsia="Times New Roman" w:hAnsi="Calibri" w:cs="Times New Roman"/>
                <w:b w:val="0"/>
                <w:color w:val="000000"/>
                <w:sz w:val="20"/>
                <w:szCs w:val="20"/>
                <w:lang w:eastAsia="en-GB"/>
              </w:rPr>
              <w:t xml:space="preserve">King's building </w:t>
            </w:r>
            <w:proofErr w:type="spellStart"/>
            <w:r w:rsidRPr="0081180A">
              <w:rPr>
                <w:rFonts w:ascii="Calibri" w:eastAsia="Times New Roman" w:hAnsi="Calibri" w:cs="Times New Roman"/>
                <w:b w:val="0"/>
                <w:color w:val="000000"/>
                <w:sz w:val="20"/>
                <w:szCs w:val="20"/>
                <w:lang w:eastAsia="en-GB"/>
              </w:rPr>
              <w:t>Safra</w:t>
            </w:r>
            <w:proofErr w:type="spellEnd"/>
            <w:r w:rsidRPr="0081180A">
              <w:rPr>
                <w:rFonts w:ascii="Calibri" w:eastAsia="Times New Roman" w:hAnsi="Calibri" w:cs="Times New Roman"/>
                <w:b w:val="0"/>
                <w:color w:val="000000"/>
                <w:sz w:val="20"/>
                <w:szCs w:val="20"/>
                <w:lang w:eastAsia="en-GB"/>
              </w:rPr>
              <w:t xml:space="preserve"> lecture theatre CO2 sensors</w:t>
            </w:r>
          </w:p>
        </w:tc>
        <w:tc>
          <w:tcPr>
            <w:tcW w:w="1278" w:type="dxa"/>
            <w:noWrap/>
            <w:hideMark/>
          </w:tcPr>
          <w:p w14:paraId="2CC8606C"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19/03/2015</w:t>
            </w:r>
          </w:p>
        </w:tc>
        <w:tc>
          <w:tcPr>
            <w:tcW w:w="1132" w:type="dxa"/>
            <w:noWrap/>
            <w:hideMark/>
          </w:tcPr>
          <w:p w14:paraId="1E27E2A2" w14:textId="7A9A8C4B" w:rsidR="0081180A" w:rsidRPr="0081180A" w:rsidRDefault="00BD1874"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AE5F7A">
              <w:rPr>
                <w:rFonts w:ascii="Calibri" w:eastAsia="Times New Roman" w:hAnsi="Calibri" w:cs="Times New Roman"/>
                <w:color w:val="000000"/>
                <w:sz w:val="20"/>
                <w:szCs w:val="20"/>
                <w:lang w:eastAsia="en-GB"/>
              </w:rPr>
              <w:t>£</w:t>
            </w:r>
            <w:r w:rsidR="0081180A" w:rsidRPr="0081180A">
              <w:rPr>
                <w:rFonts w:ascii="Calibri" w:eastAsia="Times New Roman" w:hAnsi="Calibri" w:cs="Times New Roman"/>
                <w:color w:val="000000"/>
                <w:sz w:val="20"/>
                <w:szCs w:val="20"/>
                <w:lang w:eastAsia="en-GB"/>
              </w:rPr>
              <w:t>3</w:t>
            </w:r>
            <w:r w:rsidRPr="00AE5F7A">
              <w:rPr>
                <w:rFonts w:ascii="Calibri" w:eastAsia="Times New Roman" w:hAnsi="Calibri" w:cs="Times New Roman"/>
                <w:color w:val="000000"/>
                <w:sz w:val="20"/>
                <w:szCs w:val="20"/>
                <w:lang w:eastAsia="en-GB"/>
              </w:rPr>
              <w:t>,</w:t>
            </w:r>
            <w:r w:rsidR="0081180A" w:rsidRPr="0081180A">
              <w:rPr>
                <w:rFonts w:ascii="Calibri" w:eastAsia="Times New Roman" w:hAnsi="Calibri" w:cs="Times New Roman"/>
                <w:color w:val="000000"/>
                <w:sz w:val="20"/>
                <w:szCs w:val="20"/>
                <w:lang w:eastAsia="en-GB"/>
              </w:rPr>
              <w:t>310</w:t>
            </w:r>
          </w:p>
        </w:tc>
        <w:tc>
          <w:tcPr>
            <w:tcW w:w="1134" w:type="dxa"/>
            <w:noWrap/>
            <w:hideMark/>
          </w:tcPr>
          <w:p w14:paraId="7B2E1AB1" w14:textId="4D660F90"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 xml:space="preserve">£1,042 </w:t>
            </w:r>
          </w:p>
        </w:tc>
        <w:tc>
          <w:tcPr>
            <w:tcW w:w="1122" w:type="dxa"/>
            <w:noWrap/>
            <w:hideMark/>
          </w:tcPr>
          <w:p w14:paraId="32C30132"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3.8</w:t>
            </w:r>
          </w:p>
        </w:tc>
        <w:tc>
          <w:tcPr>
            <w:tcW w:w="972" w:type="dxa"/>
            <w:noWrap/>
            <w:hideMark/>
          </w:tcPr>
          <w:p w14:paraId="7E11AF9B"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3.2</w:t>
            </w:r>
          </w:p>
        </w:tc>
      </w:tr>
      <w:tr w:rsidR="00BD1874" w:rsidRPr="00AE5F7A" w14:paraId="60D64FDC" w14:textId="77777777" w:rsidTr="00BD1874">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14E9FAE" w14:textId="77777777" w:rsidR="0081180A" w:rsidRPr="0081180A" w:rsidRDefault="0081180A" w:rsidP="00BD1874">
            <w:pPr>
              <w:keepNext/>
              <w:keepLines/>
              <w:rPr>
                <w:rFonts w:ascii="Calibri" w:eastAsia="Times New Roman" w:hAnsi="Calibri" w:cs="Times New Roman"/>
                <w:b w:val="0"/>
                <w:color w:val="000000"/>
                <w:sz w:val="20"/>
                <w:szCs w:val="20"/>
                <w:lang w:eastAsia="en-GB"/>
              </w:rPr>
            </w:pPr>
            <w:r w:rsidRPr="0081180A">
              <w:rPr>
                <w:rFonts w:ascii="Calibri" w:eastAsia="Times New Roman" w:hAnsi="Calibri" w:cs="Times New Roman"/>
                <w:b w:val="0"/>
                <w:color w:val="000000"/>
                <w:sz w:val="20"/>
                <w:szCs w:val="20"/>
                <w:lang w:eastAsia="en-GB"/>
              </w:rPr>
              <w:t>Britannia House circulation space LED conversion</w:t>
            </w:r>
          </w:p>
        </w:tc>
        <w:tc>
          <w:tcPr>
            <w:tcW w:w="1278" w:type="dxa"/>
            <w:noWrap/>
            <w:hideMark/>
          </w:tcPr>
          <w:p w14:paraId="7050BDC2"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23/10/2014</w:t>
            </w:r>
          </w:p>
        </w:tc>
        <w:tc>
          <w:tcPr>
            <w:tcW w:w="1132" w:type="dxa"/>
            <w:noWrap/>
            <w:hideMark/>
          </w:tcPr>
          <w:p w14:paraId="648CBCE0" w14:textId="1605255D" w:rsidR="0081180A" w:rsidRPr="0081180A" w:rsidRDefault="00BD1874"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AE5F7A">
              <w:rPr>
                <w:rFonts w:ascii="Calibri" w:eastAsia="Times New Roman" w:hAnsi="Calibri" w:cs="Times New Roman"/>
                <w:color w:val="000000"/>
                <w:sz w:val="20"/>
                <w:szCs w:val="20"/>
                <w:lang w:eastAsia="en-GB"/>
              </w:rPr>
              <w:t>£33,603</w:t>
            </w:r>
          </w:p>
        </w:tc>
        <w:tc>
          <w:tcPr>
            <w:tcW w:w="1134" w:type="dxa"/>
            <w:noWrap/>
            <w:hideMark/>
          </w:tcPr>
          <w:p w14:paraId="0636D1E4" w14:textId="37A5895C"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 xml:space="preserve">£9,446 </w:t>
            </w:r>
          </w:p>
        </w:tc>
        <w:tc>
          <w:tcPr>
            <w:tcW w:w="1122" w:type="dxa"/>
            <w:noWrap/>
            <w:hideMark/>
          </w:tcPr>
          <w:p w14:paraId="001EDC9E"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34.1</w:t>
            </w:r>
          </w:p>
        </w:tc>
        <w:tc>
          <w:tcPr>
            <w:tcW w:w="972" w:type="dxa"/>
            <w:noWrap/>
            <w:hideMark/>
          </w:tcPr>
          <w:p w14:paraId="3B024322"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3.6</w:t>
            </w:r>
          </w:p>
        </w:tc>
      </w:tr>
      <w:tr w:rsidR="00BD1874" w:rsidRPr="00AE5F7A" w14:paraId="48E9D971" w14:textId="77777777" w:rsidTr="00BD18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8C2915A" w14:textId="77777777" w:rsidR="0081180A" w:rsidRPr="0081180A" w:rsidRDefault="0081180A" w:rsidP="00BD1874">
            <w:pPr>
              <w:keepNext/>
              <w:keepLines/>
              <w:rPr>
                <w:rFonts w:ascii="Calibri" w:eastAsia="Times New Roman" w:hAnsi="Calibri" w:cs="Times New Roman"/>
                <w:b w:val="0"/>
                <w:color w:val="000000"/>
                <w:sz w:val="20"/>
                <w:szCs w:val="20"/>
                <w:lang w:eastAsia="en-GB"/>
              </w:rPr>
            </w:pPr>
            <w:r w:rsidRPr="0081180A">
              <w:rPr>
                <w:rFonts w:ascii="Calibri" w:eastAsia="Times New Roman" w:hAnsi="Calibri" w:cs="Times New Roman"/>
                <w:b w:val="0"/>
                <w:color w:val="000000"/>
                <w:sz w:val="20"/>
                <w:szCs w:val="20"/>
                <w:lang w:eastAsia="en-GB"/>
              </w:rPr>
              <w:t>Britannia House offices and laboratory LED conversion</w:t>
            </w:r>
          </w:p>
        </w:tc>
        <w:tc>
          <w:tcPr>
            <w:tcW w:w="1278" w:type="dxa"/>
            <w:noWrap/>
            <w:hideMark/>
          </w:tcPr>
          <w:p w14:paraId="7B4EE8C8"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23/10/2014</w:t>
            </w:r>
          </w:p>
        </w:tc>
        <w:tc>
          <w:tcPr>
            <w:tcW w:w="1132" w:type="dxa"/>
            <w:noWrap/>
            <w:hideMark/>
          </w:tcPr>
          <w:p w14:paraId="1D453E9D" w14:textId="5E772E09" w:rsidR="0081180A" w:rsidRPr="0081180A" w:rsidRDefault="00BD1874"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AE5F7A">
              <w:rPr>
                <w:rFonts w:ascii="Calibri" w:eastAsia="Times New Roman" w:hAnsi="Calibri" w:cs="Times New Roman"/>
                <w:color w:val="000000"/>
                <w:sz w:val="20"/>
                <w:szCs w:val="20"/>
                <w:lang w:eastAsia="en-GB"/>
              </w:rPr>
              <w:t>£53,545</w:t>
            </w:r>
          </w:p>
        </w:tc>
        <w:tc>
          <w:tcPr>
            <w:tcW w:w="1134" w:type="dxa"/>
            <w:noWrap/>
            <w:hideMark/>
          </w:tcPr>
          <w:p w14:paraId="047FCD8D" w14:textId="7EDB815E" w:rsidR="0081180A" w:rsidRPr="0081180A" w:rsidRDefault="00BD1874"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AE5F7A">
              <w:rPr>
                <w:rFonts w:ascii="Calibri" w:eastAsia="Times New Roman" w:hAnsi="Calibri" w:cs="Times New Roman"/>
                <w:color w:val="000000"/>
                <w:sz w:val="20"/>
                <w:szCs w:val="20"/>
                <w:lang w:eastAsia="en-GB"/>
              </w:rPr>
              <w:t>£</w:t>
            </w:r>
            <w:r w:rsidR="0081180A" w:rsidRPr="0081180A">
              <w:rPr>
                <w:rFonts w:ascii="Calibri" w:eastAsia="Times New Roman" w:hAnsi="Calibri" w:cs="Times New Roman"/>
                <w:color w:val="000000"/>
                <w:sz w:val="20"/>
                <w:szCs w:val="20"/>
                <w:lang w:eastAsia="en-GB"/>
              </w:rPr>
              <w:t xml:space="preserve">13,029 </w:t>
            </w:r>
          </w:p>
        </w:tc>
        <w:tc>
          <w:tcPr>
            <w:tcW w:w="1122" w:type="dxa"/>
            <w:noWrap/>
            <w:hideMark/>
          </w:tcPr>
          <w:p w14:paraId="35FD5CC3"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47.0</w:t>
            </w:r>
          </w:p>
        </w:tc>
        <w:tc>
          <w:tcPr>
            <w:tcW w:w="972" w:type="dxa"/>
            <w:noWrap/>
            <w:hideMark/>
          </w:tcPr>
          <w:p w14:paraId="53DC63B4"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4.1</w:t>
            </w:r>
          </w:p>
        </w:tc>
      </w:tr>
      <w:tr w:rsidR="00BD1874" w:rsidRPr="00AE5F7A" w14:paraId="6D00EC6A" w14:textId="77777777" w:rsidTr="00BD1874">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E4790DA" w14:textId="77777777" w:rsidR="0081180A" w:rsidRPr="0081180A" w:rsidRDefault="0081180A" w:rsidP="00BD1874">
            <w:pPr>
              <w:keepNext/>
              <w:keepLines/>
              <w:rPr>
                <w:rFonts w:ascii="Calibri" w:eastAsia="Times New Roman" w:hAnsi="Calibri" w:cs="Times New Roman"/>
                <w:b w:val="0"/>
                <w:color w:val="000000"/>
                <w:sz w:val="20"/>
                <w:szCs w:val="20"/>
                <w:lang w:eastAsia="en-GB"/>
              </w:rPr>
            </w:pPr>
            <w:r w:rsidRPr="0081180A">
              <w:rPr>
                <w:rFonts w:ascii="Calibri" w:eastAsia="Times New Roman" w:hAnsi="Calibri" w:cs="Times New Roman"/>
                <w:b w:val="0"/>
                <w:color w:val="000000"/>
                <w:sz w:val="20"/>
                <w:szCs w:val="20"/>
                <w:lang w:eastAsia="en-GB"/>
              </w:rPr>
              <w:t>FWB atrium lighting</w:t>
            </w:r>
          </w:p>
        </w:tc>
        <w:tc>
          <w:tcPr>
            <w:tcW w:w="1278" w:type="dxa"/>
            <w:noWrap/>
            <w:hideMark/>
          </w:tcPr>
          <w:p w14:paraId="2A8CDC01"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16/03/2015</w:t>
            </w:r>
          </w:p>
        </w:tc>
        <w:tc>
          <w:tcPr>
            <w:tcW w:w="1132" w:type="dxa"/>
            <w:noWrap/>
            <w:hideMark/>
          </w:tcPr>
          <w:p w14:paraId="78E0DFE9" w14:textId="1D2DF387" w:rsidR="0081180A" w:rsidRPr="0081180A" w:rsidRDefault="00BD1874"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AE5F7A">
              <w:rPr>
                <w:rFonts w:ascii="Calibri" w:eastAsia="Times New Roman" w:hAnsi="Calibri" w:cs="Times New Roman"/>
                <w:color w:val="000000"/>
                <w:sz w:val="20"/>
                <w:szCs w:val="20"/>
                <w:lang w:eastAsia="en-GB"/>
              </w:rPr>
              <w:t>£94,433</w:t>
            </w:r>
          </w:p>
        </w:tc>
        <w:tc>
          <w:tcPr>
            <w:tcW w:w="1134" w:type="dxa"/>
            <w:noWrap/>
            <w:hideMark/>
          </w:tcPr>
          <w:p w14:paraId="65FAEDC5" w14:textId="7E6C4E92"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 xml:space="preserve">£7,726 </w:t>
            </w:r>
          </w:p>
        </w:tc>
        <w:tc>
          <w:tcPr>
            <w:tcW w:w="1122" w:type="dxa"/>
            <w:noWrap/>
            <w:hideMark/>
          </w:tcPr>
          <w:p w14:paraId="66808FC8"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27.9</w:t>
            </w:r>
          </w:p>
        </w:tc>
        <w:tc>
          <w:tcPr>
            <w:tcW w:w="972" w:type="dxa"/>
            <w:noWrap/>
            <w:hideMark/>
          </w:tcPr>
          <w:p w14:paraId="6D18D71A"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12.2</w:t>
            </w:r>
          </w:p>
        </w:tc>
      </w:tr>
      <w:tr w:rsidR="00BD1874" w:rsidRPr="00AE5F7A" w14:paraId="1C30D697" w14:textId="77777777" w:rsidTr="00BD18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77A94F8" w14:textId="12DAE141" w:rsidR="0081180A" w:rsidRPr="0081180A" w:rsidRDefault="00BD1874" w:rsidP="00BD1874">
            <w:pPr>
              <w:keepNext/>
              <w:keepLines/>
              <w:rPr>
                <w:rFonts w:ascii="Calibri" w:eastAsia="Times New Roman" w:hAnsi="Calibri" w:cs="Times New Roman"/>
                <w:b w:val="0"/>
                <w:color w:val="000000"/>
                <w:sz w:val="20"/>
                <w:szCs w:val="20"/>
                <w:lang w:eastAsia="en-GB"/>
              </w:rPr>
            </w:pPr>
            <w:r w:rsidRPr="00AE5F7A">
              <w:rPr>
                <w:rFonts w:ascii="Calibri" w:eastAsia="Times New Roman" w:hAnsi="Calibri" w:cs="Times New Roman"/>
                <w:b w:val="0"/>
                <w:color w:val="000000"/>
                <w:sz w:val="20"/>
                <w:szCs w:val="20"/>
                <w:lang w:eastAsia="en-GB"/>
              </w:rPr>
              <w:t>D</w:t>
            </w:r>
            <w:r w:rsidR="0081180A" w:rsidRPr="0081180A">
              <w:rPr>
                <w:rFonts w:ascii="Calibri" w:eastAsia="Times New Roman" w:hAnsi="Calibri" w:cs="Times New Roman"/>
                <w:b w:val="0"/>
                <w:color w:val="000000"/>
                <w:sz w:val="20"/>
                <w:szCs w:val="20"/>
                <w:lang w:eastAsia="en-GB"/>
              </w:rPr>
              <w:t>rying cabinets replacement</w:t>
            </w:r>
          </w:p>
        </w:tc>
        <w:tc>
          <w:tcPr>
            <w:tcW w:w="1278" w:type="dxa"/>
            <w:noWrap/>
            <w:hideMark/>
          </w:tcPr>
          <w:p w14:paraId="14B1CEAE"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16/03/2015</w:t>
            </w:r>
          </w:p>
        </w:tc>
        <w:tc>
          <w:tcPr>
            <w:tcW w:w="1132" w:type="dxa"/>
            <w:noWrap/>
            <w:hideMark/>
          </w:tcPr>
          <w:p w14:paraId="0452A1DC" w14:textId="06E436DF" w:rsidR="0081180A" w:rsidRPr="0081180A" w:rsidRDefault="00BD1874"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AE5F7A">
              <w:rPr>
                <w:rFonts w:ascii="Calibri" w:eastAsia="Times New Roman" w:hAnsi="Calibri" w:cs="Times New Roman"/>
                <w:color w:val="000000"/>
                <w:sz w:val="20"/>
                <w:szCs w:val="20"/>
                <w:lang w:eastAsia="en-GB"/>
              </w:rPr>
              <w:t>£</w:t>
            </w:r>
            <w:r w:rsidR="0081180A" w:rsidRPr="0081180A">
              <w:rPr>
                <w:rFonts w:ascii="Calibri" w:eastAsia="Times New Roman" w:hAnsi="Calibri" w:cs="Times New Roman"/>
                <w:color w:val="000000"/>
                <w:sz w:val="20"/>
                <w:szCs w:val="20"/>
                <w:lang w:eastAsia="en-GB"/>
              </w:rPr>
              <w:t>77</w:t>
            </w:r>
            <w:r w:rsidRPr="00AE5F7A">
              <w:rPr>
                <w:rFonts w:ascii="Calibri" w:eastAsia="Times New Roman" w:hAnsi="Calibri" w:cs="Times New Roman"/>
                <w:color w:val="000000"/>
                <w:sz w:val="20"/>
                <w:szCs w:val="20"/>
                <w:lang w:eastAsia="en-GB"/>
              </w:rPr>
              <w:t>,</w:t>
            </w:r>
            <w:r w:rsidR="0081180A" w:rsidRPr="0081180A">
              <w:rPr>
                <w:rFonts w:ascii="Calibri" w:eastAsia="Times New Roman" w:hAnsi="Calibri" w:cs="Times New Roman"/>
                <w:color w:val="000000"/>
                <w:sz w:val="20"/>
                <w:szCs w:val="20"/>
                <w:lang w:eastAsia="en-GB"/>
              </w:rPr>
              <w:t>845</w:t>
            </w:r>
          </w:p>
        </w:tc>
        <w:tc>
          <w:tcPr>
            <w:tcW w:w="1134" w:type="dxa"/>
            <w:noWrap/>
            <w:hideMark/>
          </w:tcPr>
          <w:p w14:paraId="711834AF" w14:textId="64B930B2"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 xml:space="preserve">£17,285 </w:t>
            </w:r>
          </w:p>
        </w:tc>
        <w:tc>
          <w:tcPr>
            <w:tcW w:w="1122" w:type="dxa"/>
            <w:noWrap/>
            <w:hideMark/>
          </w:tcPr>
          <w:p w14:paraId="48AA0D84"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62.4</w:t>
            </w:r>
          </w:p>
        </w:tc>
        <w:tc>
          <w:tcPr>
            <w:tcW w:w="972" w:type="dxa"/>
            <w:noWrap/>
            <w:hideMark/>
          </w:tcPr>
          <w:p w14:paraId="3ED5692E"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4.5</w:t>
            </w:r>
          </w:p>
        </w:tc>
      </w:tr>
      <w:tr w:rsidR="00BD1874" w:rsidRPr="00AE5F7A" w14:paraId="62137F46" w14:textId="77777777" w:rsidTr="00BD1874">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8A52045" w14:textId="1934789C" w:rsidR="0081180A" w:rsidRPr="0081180A" w:rsidRDefault="0081180A" w:rsidP="00BD1874">
            <w:pPr>
              <w:keepNext/>
              <w:keepLines/>
              <w:rPr>
                <w:rFonts w:ascii="Calibri" w:eastAsia="Times New Roman" w:hAnsi="Calibri" w:cs="Times New Roman"/>
                <w:b w:val="0"/>
                <w:color w:val="000000"/>
                <w:sz w:val="20"/>
                <w:szCs w:val="20"/>
                <w:lang w:eastAsia="en-GB"/>
              </w:rPr>
            </w:pPr>
            <w:r w:rsidRPr="0081180A">
              <w:rPr>
                <w:rFonts w:ascii="Calibri" w:eastAsia="Times New Roman" w:hAnsi="Calibri" w:cs="Times New Roman"/>
                <w:b w:val="0"/>
                <w:color w:val="000000"/>
                <w:sz w:val="20"/>
                <w:szCs w:val="20"/>
                <w:lang w:eastAsia="en-GB"/>
              </w:rPr>
              <w:t>JBC lighting</w:t>
            </w:r>
            <w:r w:rsidR="00BD1874" w:rsidRPr="00AE5F7A">
              <w:rPr>
                <w:rFonts w:ascii="Calibri" w:eastAsia="Times New Roman" w:hAnsi="Calibri" w:cs="Times New Roman"/>
                <w:b w:val="0"/>
                <w:color w:val="000000"/>
                <w:sz w:val="20"/>
                <w:szCs w:val="20"/>
                <w:lang w:eastAsia="en-GB"/>
              </w:rPr>
              <w:t xml:space="preserve"> controls replacement</w:t>
            </w:r>
          </w:p>
        </w:tc>
        <w:tc>
          <w:tcPr>
            <w:tcW w:w="1278" w:type="dxa"/>
            <w:noWrap/>
            <w:hideMark/>
          </w:tcPr>
          <w:p w14:paraId="11D3C080"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16/03/2015</w:t>
            </w:r>
          </w:p>
        </w:tc>
        <w:tc>
          <w:tcPr>
            <w:tcW w:w="1132" w:type="dxa"/>
            <w:noWrap/>
            <w:hideMark/>
          </w:tcPr>
          <w:p w14:paraId="038CA248" w14:textId="7C19BEA8" w:rsidR="0081180A" w:rsidRPr="0081180A" w:rsidRDefault="00BD1874"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AE5F7A">
              <w:rPr>
                <w:rFonts w:ascii="Calibri" w:eastAsia="Times New Roman" w:hAnsi="Calibri" w:cs="Times New Roman"/>
                <w:color w:val="000000"/>
                <w:sz w:val="20"/>
                <w:szCs w:val="20"/>
                <w:lang w:eastAsia="en-GB"/>
              </w:rPr>
              <w:t>£</w:t>
            </w:r>
            <w:r w:rsidR="0081180A" w:rsidRPr="0081180A">
              <w:rPr>
                <w:rFonts w:ascii="Calibri" w:eastAsia="Times New Roman" w:hAnsi="Calibri" w:cs="Times New Roman"/>
                <w:color w:val="000000"/>
                <w:sz w:val="20"/>
                <w:szCs w:val="20"/>
                <w:lang w:eastAsia="en-GB"/>
              </w:rPr>
              <w:t>257</w:t>
            </w:r>
            <w:r w:rsidRPr="00AE5F7A">
              <w:rPr>
                <w:rFonts w:ascii="Calibri" w:eastAsia="Times New Roman" w:hAnsi="Calibri" w:cs="Times New Roman"/>
                <w:color w:val="000000"/>
                <w:sz w:val="20"/>
                <w:szCs w:val="20"/>
                <w:lang w:eastAsia="en-GB"/>
              </w:rPr>
              <w:t>,</w:t>
            </w:r>
            <w:r w:rsidR="0081180A" w:rsidRPr="0081180A">
              <w:rPr>
                <w:rFonts w:ascii="Calibri" w:eastAsia="Times New Roman" w:hAnsi="Calibri" w:cs="Times New Roman"/>
                <w:color w:val="000000"/>
                <w:sz w:val="20"/>
                <w:szCs w:val="20"/>
                <w:lang w:eastAsia="en-GB"/>
              </w:rPr>
              <w:t>600</w:t>
            </w:r>
          </w:p>
        </w:tc>
        <w:tc>
          <w:tcPr>
            <w:tcW w:w="1134" w:type="dxa"/>
            <w:noWrap/>
            <w:hideMark/>
          </w:tcPr>
          <w:p w14:paraId="453A44FA" w14:textId="162370B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 xml:space="preserve">£41,667 </w:t>
            </w:r>
          </w:p>
        </w:tc>
        <w:tc>
          <w:tcPr>
            <w:tcW w:w="1122" w:type="dxa"/>
            <w:noWrap/>
            <w:hideMark/>
          </w:tcPr>
          <w:p w14:paraId="6774F3B9"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150.4</w:t>
            </w:r>
          </w:p>
        </w:tc>
        <w:tc>
          <w:tcPr>
            <w:tcW w:w="972" w:type="dxa"/>
            <w:noWrap/>
            <w:hideMark/>
          </w:tcPr>
          <w:p w14:paraId="0CB6F64C"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6.2</w:t>
            </w:r>
          </w:p>
        </w:tc>
      </w:tr>
      <w:tr w:rsidR="00BD1874" w:rsidRPr="00AE5F7A" w14:paraId="57FE6FC0" w14:textId="77777777" w:rsidTr="00BD18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1068D14" w14:textId="77777777" w:rsidR="0081180A" w:rsidRPr="0081180A" w:rsidRDefault="0081180A" w:rsidP="00BD1874">
            <w:pPr>
              <w:keepNext/>
              <w:keepLines/>
              <w:rPr>
                <w:rFonts w:ascii="Calibri" w:eastAsia="Times New Roman" w:hAnsi="Calibri" w:cs="Times New Roman"/>
                <w:b w:val="0"/>
                <w:color w:val="000000"/>
                <w:sz w:val="20"/>
                <w:szCs w:val="20"/>
                <w:lang w:eastAsia="en-GB"/>
              </w:rPr>
            </w:pPr>
            <w:r w:rsidRPr="0081180A">
              <w:rPr>
                <w:rFonts w:ascii="Calibri" w:eastAsia="Times New Roman" w:hAnsi="Calibri" w:cs="Times New Roman"/>
                <w:b w:val="0"/>
                <w:color w:val="000000"/>
                <w:sz w:val="20"/>
                <w:szCs w:val="20"/>
                <w:lang w:eastAsia="en-GB"/>
              </w:rPr>
              <w:t>Cold storage efficiency</w:t>
            </w:r>
          </w:p>
        </w:tc>
        <w:tc>
          <w:tcPr>
            <w:tcW w:w="1278" w:type="dxa"/>
            <w:noWrap/>
            <w:hideMark/>
          </w:tcPr>
          <w:p w14:paraId="135EFA48"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16/03/2015</w:t>
            </w:r>
          </w:p>
        </w:tc>
        <w:tc>
          <w:tcPr>
            <w:tcW w:w="1132" w:type="dxa"/>
            <w:noWrap/>
            <w:hideMark/>
          </w:tcPr>
          <w:p w14:paraId="3DB4509B" w14:textId="02B43556" w:rsidR="0081180A" w:rsidRPr="0081180A" w:rsidRDefault="00BD1874"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AE5F7A">
              <w:rPr>
                <w:rFonts w:ascii="Calibri" w:eastAsia="Times New Roman" w:hAnsi="Calibri" w:cs="Times New Roman"/>
                <w:color w:val="000000"/>
                <w:sz w:val="20"/>
                <w:szCs w:val="20"/>
                <w:lang w:eastAsia="en-GB"/>
              </w:rPr>
              <w:t>£</w:t>
            </w:r>
            <w:r w:rsidR="0081180A" w:rsidRPr="0081180A">
              <w:rPr>
                <w:rFonts w:ascii="Calibri" w:eastAsia="Times New Roman" w:hAnsi="Calibri" w:cs="Times New Roman"/>
                <w:color w:val="000000"/>
                <w:sz w:val="20"/>
                <w:szCs w:val="20"/>
                <w:lang w:eastAsia="en-GB"/>
              </w:rPr>
              <w:t>38</w:t>
            </w:r>
            <w:r w:rsidRPr="00AE5F7A">
              <w:rPr>
                <w:rFonts w:ascii="Calibri" w:eastAsia="Times New Roman" w:hAnsi="Calibri" w:cs="Times New Roman"/>
                <w:color w:val="000000"/>
                <w:sz w:val="20"/>
                <w:szCs w:val="20"/>
                <w:lang w:eastAsia="en-GB"/>
              </w:rPr>
              <w:t>,</w:t>
            </w:r>
            <w:r w:rsidR="0081180A" w:rsidRPr="0081180A">
              <w:rPr>
                <w:rFonts w:ascii="Calibri" w:eastAsia="Times New Roman" w:hAnsi="Calibri" w:cs="Times New Roman"/>
                <w:color w:val="000000"/>
                <w:sz w:val="20"/>
                <w:szCs w:val="20"/>
                <w:lang w:eastAsia="en-GB"/>
              </w:rPr>
              <w:t>300</w:t>
            </w:r>
          </w:p>
        </w:tc>
        <w:tc>
          <w:tcPr>
            <w:tcW w:w="1134" w:type="dxa"/>
            <w:noWrap/>
            <w:hideMark/>
          </w:tcPr>
          <w:p w14:paraId="498529D8" w14:textId="0974ACED"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w:t>
            </w:r>
            <w:r w:rsidR="00BD1874" w:rsidRPr="00AE5F7A">
              <w:rPr>
                <w:rFonts w:ascii="Calibri" w:eastAsia="Times New Roman" w:hAnsi="Calibri" w:cs="Times New Roman"/>
                <w:color w:val="000000"/>
                <w:sz w:val="20"/>
                <w:szCs w:val="20"/>
                <w:lang w:eastAsia="en-GB"/>
              </w:rPr>
              <w:t>1</w:t>
            </w:r>
            <w:r w:rsidRPr="0081180A">
              <w:rPr>
                <w:rFonts w:ascii="Calibri" w:eastAsia="Times New Roman" w:hAnsi="Calibri" w:cs="Times New Roman"/>
                <w:color w:val="000000"/>
                <w:sz w:val="20"/>
                <w:szCs w:val="20"/>
                <w:lang w:eastAsia="en-GB"/>
              </w:rPr>
              <w:t xml:space="preserve">5,600 </w:t>
            </w:r>
          </w:p>
        </w:tc>
        <w:tc>
          <w:tcPr>
            <w:tcW w:w="1122" w:type="dxa"/>
            <w:noWrap/>
            <w:hideMark/>
          </w:tcPr>
          <w:p w14:paraId="14A30DA7"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67.0</w:t>
            </w:r>
          </w:p>
        </w:tc>
        <w:tc>
          <w:tcPr>
            <w:tcW w:w="972" w:type="dxa"/>
            <w:noWrap/>
            <w:hideMark/>
          </w:tcPr>
          <w:p w14:paraId="4E4F6C66"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2.5</w:t>
            </w:r>
          </w:p>
        </w:tc>
      </w:tr>
      <w:tr w:rsidR="00BD1874" w:rsidRPr="00AE5F7A" w14:paraId="295D9CE4" w14:textId="77777777" w:rsidTr="00BD1874">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7120BC4" w14:textId="77777777" w:rsidR="0081180A" w:rsidRPr="0081180A" w:rsidRDefault="0081180A" w:rsidP="00BD1874">
            <w:pPr>
              <w:keepNext/>
              <w:keepLines/>
              <w:rPr>
                <w:rFonts w:ascii="Calibri" w:eastAsia="Times New Roman" w:hAnsi="Calibri" w:cs="Times New Roman"/>
                <w:b w:val="0"/>
                <w:color w:val="000000"/>
                <w:sz w:val="20"/>
                <w:szCs w:val="20"/>
                <w:lang w:eastAsia="en-GB"/>
              </w:rPr>
            </w:pPr>
            <w:r w:rsidRPr="0081180A">
              <w:rPr>
                <w:rFonts w:ascii="Calibri" w:eastAsia="Times New Roman" w:hAnsi="Calibri" w:cs="Times New Roman"/>
                <w:b w:val="0"/>
                <w:color w:val="000000"/>
                <w:sz w:val="20"/>
                <w:szCs w:val="20"/>
                <w:lang w:eastAsia="en-GB"/>
              </w:rPr>
              <w:t>Wolfson Wing LED lighting</w:t>
            </w:r>
          </w:p>
        </w:tc>
        <w:tc>
          <w:tcPr>
            <w:tcW w:w="1278" w:type="dxa"/>
            <w:noWrap/>
            <w:hideMark/>
          </w:tcPr>
          <w:p w14:paraId="6A5A3112"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16/03/2015</w:t>
            </w:r>
          </w:p>
        </w:tc>
        <w:tc>
          <w:tcPr>
            <w:tcW w:w="1132" w:type="dxa"/>
            <w:noWrap/>
            <w:hideMark/>
          </w:tcPr>
          <w:p w14:paraId="21197BB3" w14:textId="566ED2EC" w:rsidR="0081180A" w:rsidRPr="0081180A" w:rsidRDefault="00BD1874"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AE5F7A">
              <w:rPr>
                <w:rFonts w:ascii="Calibri" w:eastAsia="Times New Roman" w:hAnsi="Calibri" w:cs="Times New Roman"/>
                <w:color w:val="000000"/>
                <w:sz w:val="20"/>
                <w:szCs w:val="20"/>
                <w:lang w:eastAsia="en-GB"/>
              </w:rPr>
              <w:t>£68,851</w:t>
            </w:r>
          </w:p>
        </w:tc>
        <w:tc>
          <w:tcPr>
            <w:tcW w:w="1134" w:type="dxa"/>
            <w:noWrap/>
            <w:hideMark/>
          </w:tcPr>
          <w:p w14:paraId="69AB34AD" w14:textId="6F515754"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 xml:space="preserve">£15,041 </w:t>
            </w:r>
          </w:p>
        </w:tc>
        <w:tc>
          <w:tcPr>
            <w:tcW w:w="1122" w:type="dxa"/>
            <w:noWrap/>
            <w:hideMark/>
          </w:tcPr>
          <w:p w14:paraId="6810C8F5"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54.3</w:t>
            </w:r>
          </w:p>
        </w:tc>
        <w:tc>
          <w:tcPr>
            <w:tcW w:w="972" w:type="dxa"/>
            <w:noWrap/>
            <w:hideMark/>
          </w:tcPr>
          <w:p w14:paraId="66FA3F5C" w14:textId="77777777" w:rsidR="0081180A" w:rsidRPr="0081180A" w:rsidRDefault="0081180A" w:rsidP="00BD1874">
            <w:pPr>
              <w:keepNext/>
              <w:keepLines/>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4.6</w:t>
            </w:r>
          </w:p>
        </w:tc>
      </w:tr>
      <w:tr w:rsidR="00BD1874" w:rsidRPr="00AE5F7A" w14:paraId="0AA17D17" w14:textId="77777777" w:rsidTr="00BD18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758A2F6" w14:textId="77777777" w:rsidR="0081180A" w:rsidRPr="0081180A" w:rsidRDefault="0081180A" w:rsidP="00BD1874">
            <w:pPr>
              <w:keepNext/>
              <w:keepLines/>
              <w:rPr>
                <w:rFonts w:ascii="Calibri" w:eastAsia="Times New Roman" w:hAnsi="Calibri" w:cs="Times New Roman"/>
                <w:b w:val="0"/>
                <w:color w:val="000000"/>
                <w:sz w:val="20"/>
                <w:szCs w:val="20"/>
                <w:lang w:eastAsia="en-GB"/>
              </w:rPr>
            </w:pPr>
            <w:r w:rsidRPr="0081180A">
              <w:rPr>
                <w:rFonts w:ascii="Calibri" w:eastAsia="Times New Roman" w:hAnsi="Calibri" w:cs="Times New Roman"/>
                <w:b w:val="0"/>
                <w:color w:val="000000"/>
                <w:sz w:val="20"/>
                <w:szCs w:val="20"/>
                <w:lang w:eastAsia="en-GB"/>
              </w:rPr>
              <w:t>SSO for Residences</w:t>
            </w:r>
          </w:p>
        </w:tc>
        <w:tc>
          <w:tcPr>
            <w:tcW w:w="1278" w:type="dxa"/>
            <w:noWrap/>
            <w:hideMark/>
          </w:tcPr>
          <w:p w14:paraId="6E705975"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07/01/2015</w:t>
            </w:r>
          </w:p>
        </w:tc>
        <w:tc>
          <w:tcPr>
            <w:tcW w:w="1132" w:type="dxa"/>
            <w:noWrap/>
            <w:hideMark/>
          </w:tcPr>
          <w:p w14:paraId="6724D024" w14:textId="749E87CB" w:rsidR="0081180A" w:rsidRPr="0081180A" w:rsidRDefault="00BD1874"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AE5F7A">
              <w:rPr>
                <w:rFonts w:ascii="Calibri" w:eastAsia="Times New Roman" w:hAnsi="Calibri" w:cs="Times New Roman"/>
                <w:color w:val="000000"/>
                <w:sz w:val="20"/>
                <w:szCs w:val="20"/>
                <w:lang w:eastAsia="en-GB"/>
              </w:rPr>
              <w:t>£</w:t>
            </w:r>
            <w:r w:rsidR="0081180A" w:rsidRPr="0081180A">
              <w:rPr>
                <w:rFonts w:ascii="Calibri" w:eastAsia="Times New Roman" w:hAnsi="Calibri" w:cs="Times New Roman"/>
                <w:color w:val="000000"/>
                <w:sz w:val="20"/>
                <w:szCs w:val="20"/>
                <w:lang w:eastAsia="en-GB"/>
              </w:rPr>
              <w:t>7</w:t>
            </w:r>
            <w:r w:rsidRPr="00AE5F7A">
              <w:rPr>
                <w:rFonts w:ascii="Calibri" w:eastAsia="Times New Roman" w:hAnsi="Calibri" w:cs="Times New Roman"/>
                <w:color w:val="000000"/>
                <w:sz w:val="20"/>
                <w:szCs w:val="20"/>
                <w:lang w:eastAsia="en-GB"/>
              </w:rPr>
              <w:t>,</w:t>
            </w:r>
            <w:r w:rsidR="0081180A" w:rsidRPr="0081180A">
              <w:rPr>
                <w:rFonts w:ascii="Calibri" w:eastAsia="Times New Roman" w:hAnsi="Calibri" w:cs="Times New Roman"/>
                <w:color w:val="000000"/>
                <w:sz w:val="20"/>
                <w:szCs w:val="20"/>
                <w:lang w:eastAsia="en-GB"/>
              </w:rPr>
              <w:t>580</w:t>
            </w:r>
          </w:p>
        </w:tc>
        <w:tc>
          <w:tcPr>
            <w:tcW w:w="1134" w:type="dxa"/>
            <w:noWrap/>
            <w:hideMark/>
          </w:tcPr>
          <w:p w14:paraId="0A51F1FD" w14:textId="02B731A3"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 xml:space="preserve">£27,480 </w:t>
            </w:r>
          </w:p>
        </w:tc>
        <w:tc>
          <w:tcPr>
            <w:tcW w:w="1122" w:type="dxa"/>
            <w:noWrap/>
            <w:hideMark/>
          </w:tcPr>
          <w:p w14:paraId="04BD2286"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99.2</w:t>
            </w:r>
          </w:p>
        </w:tc>
        <w:tc>
          <w:tcPr>
            <w:tcW w:w="972" w:type="dxa"/>
            <w:noWrap/>
            <w:hideMark/>
          </w:tcPr>
          <w:p w14:paraId="66E21737" w14:textId="77777777" w:rsidR="0081180A" w:rsidRPr="0081180A" w:rsidRDefault="0081180A" w:rsidP="00BD1874">
            <w:pPr>
              <w:keepNext/>
              <w:keepLines/>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81180A">
              <w:rPr>
                <w:rFonts w:ascii="Calibri" w:eastAsia="Times New Roman" w:hAnsi="Calibri" w:cs="Times New Roman"/>
                <w:color w:val="000000"/>
                <w:sz w:val="20"/>
                <w:szCs w:val="20"/>
                <w:lang w:eastAsia="en-GB"/>
              </w:rPr>
              <w:t>0.3</w:t>
            </w:r>
          </w:p>
        </w:tc>
      </w:tr>
      <w:tr w:rsidR="00866FC6" w:rsidRPr="00866FC6" w14:paraId="0C690D41" w14:textId="77777777" w:rsidTr="00866FC6">
        <w:trPr>
          <w:trHeight w:val="300"/>
        </w:trPr>
        <w:tc>
          <w:tcPr>
            <w:cnfStyle w:val="001000000000" w:firstRow="0" w:lastRow="0" w:firstColumn="1" w:lastColumn="0" w:oddVBand="0" w:evenVBand="0" w:oddHBand="0" w:evenHBand="0" w:firstRowFirstColumn="0" w:firstRowLastColumn="0" w:lastRowFirstColumn="0" w:lastRowLastColumn="0"/>
            <w:tcW w:w="3539" w:type="dxa"/>
            <w:shd w:val="clear" w:color="auto" w:fill="365F91" w:themeFill="accent1" w:themeFillShade="BF"/>
            <w:noWrap/>
            <w:hideMark/>
          </w:tcPr>
          <w:p w14:paraId="7022DF4C" w14:textId="65D0EBA2" w:rsidR="00866FC6" w:rsidRPr="00866FC6" w:rsidRDefault="00866FC6" w:rsidP="00866FC6">
            <w:pPr>
              <w:keepNext/>
              <w:keepLines/>
              <w:rPr>
                <w:rFonts w:ascii="Calibri" w:eastAsia="Times New Roman" w:hAnsi="Calibri" w:cs="Times New Roman"/>
                <w:color w:val="FFFFFF" w:themeColor="background1"/>
                <w:lang w:eastAsia="en-GB"/>
              </w:rPr>
            </w:pPr>
            <w:r>
              <w:rPr>
                <w:rFonts w:ascii="Calibri" w:eastAsia="Times New Roman" w:hAnsi="Calibri" w:cs="Times New Roman"/>
                <w:color w:val="FFFFFF" w:themeColor="background1"/>
                <w:lang w:eastAsia="en-GB"/>
              </w:rPr>
              <w:t xml:space="preserve">Total </w:t>
            </w:r>
          </w:p>
        </w:tc>
        <w:tc>
          <w:tcPr>
            <w:tcW w:w="1278" w:type="dxa"/>
            <w:shd w:val="clear" w:color="auto" w:fill="365F91" w:themeFill="accent1" w:themeFillShade="BF"/>
            <w:noWrap/>
            <w:hideMark/>
          </w:tcPr>
          <w:p w14:paraId="04DD4E8A" w14:textId="1AEC93C6" w:rsidR="00866FC6" w:rsidRPr="00866FC6" w:rsidRDefault="00866FC6" w:rsidP="00866FC6">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FFFFFF" w:themeColor="background1"/>
                <w:lang w:eastAsia="en-GB"/>
              </w:rPr>
            </w:pPr>
          </w:p>
        </w:tc>
        <w:tc>
          <w:tcPr>
            <w:tcW w:w="1132" w:type="dxa"/>
            <w:shd w:val="clear" w:color="auto" w:fill="365F91" w:themeFill="accent1" w:themeFillShade="BF"/>
            <w:noWrap/>
            <w:hideMark/>
          </w:tcPr>
          <w:p w14:paraId="391AB536" w14:textId="7629B87D" w:rsidR="00866FC6" w:rsidRPr="00866FC6" w:rsidRDefault="00866FC6" w:rsidP="00866FC6">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FFFFFF" w:themeColor="background1"/>
                <w:lang w:eastAsia="en-GB"/>
              </w:rPr>
            </w:pPr>
            <w:r w:rsidRPr="00866FC6">
              <w:rPr>
                <w:rFonts w:ascii="Calibri" w:eastAsia="Times New Roman" w:hAnsi="Calibri" w:cs="Times New Roman"/>
                <w:b/>
                <w:color w:val="FFFFFF" w:themeColor="background1"/>
                <w:lang w:eastAsia="en-GB"/>
              </w:rPr>
              <w:t>£762,264</w:t>
            </w:r>
          </w:p>
        </w:tc>
        <w:tc>
          <w:tcPr>
            <w:tcW w:w="1134" w:type="dxa"/>
            <w:shd w:val="clear" w:color="auto" w:fill="365F91" w:themeFill="accent1" w:themeFillShade="BF"/>
            <w:noWrap/>
            <w:hideMark/>
          </w:tcPr>
          <w:p w14:paraId="50A6B17B" w14:textId="0315CD1B" w:rsidR="00866FC6" w:rsidRPr="00866FC6" w:rsidRDefault="00866FC6" w:rsidP="00866FC6">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FFFFFF" w:themeColor="background1"/>
                <w:lang w:eastAsia="en-GB"/>
              </w:rPr>
            </w:pPr>
            <w:r w:rsidRPr="00866FC6">
              <w:rPr>
                <w:rFonts w:ascii="Calibri" w:eastAsia="Times New Roman" w:hAnsi="Calibri" w:cs="Times New Roman"/>
                <w:b/>
                <w:color w:val="FFFFFF" w:themeColor="background1"/>
                <w:lang w:eastAsia="en-GB"/>
              </w:rPr>
              <w:t>£187,909</w:t>
            </w:r>
          </w:p>
        </w:tc>
        <w:tc>
          <w:tcPr>
            <w:tcW w:w="1122" w:type="dxa"/>
            <w:shd w:val="clear" w:color="auto" w:fill="365F91" w:themeFill="accent1" w:themeFillShade="BF"/>
            <w:noWrap/>
            <w:hideMark/>
          </w:tcPr>
          <w:p w14:paraId="25F3A5DC" w14:textId="3D1E88CC" w:rsidR="00866FC6" w:rsidRPr="00866FC6" w:rsidRDefault="00866FC6" w:rsidP="00866FC6">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FFFFFF" w:themeColor="background1"/>
                <w:lang w:eastAsia="en-GB"/>
              </w:rPr>
            </w:pPr>
            <w:r w:rsidRPr="00866FC6">
              <w:rPr>
                <w:rFonts w:ascii="Calibri" w:eastAsia="Times New Roman" w:hAnsi="Calibri" w:cs="Times New Roman"/>
                <w:b/>
                <w:color w:val="FFFFFF" w:themeColor="background1"/>
                <w:lang w:eastAsia="en-GB"/>
              </w:rPr>
              <w:t>689</w:t>
            </w:r>
          </w:p>
        </w:tc>
        <w:tc>
          <w:tcPr>
            <w:tcW w:w="972" w:type="dxa"/>
            <w:shd w:val="clear" w:color="auto" w:fill="365F91" w:themeFill="accent1" w:themeFillShade="BF"/>
            <w:noWrap/>
          </w:tcPr>
          <w:p w14:paraId="0F2EAB29" w14:textId="5772D299" w:rsidR="00866FC6" w:rsidRPr="00866FC6" w:rsidRDefault="00866FC6" w:rsidP="00866FC6">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FFFFFF" w:themeColor="background1"/>
                <w:lang w:eastAsia="en-GB"/>
              </w:rPr>
            </w:pPr>
          </w:p>
        </w:tc>
      </w:tr>
    </w:tbl>
    <w:p w14:paraId="5F662863" w14:textId="77777777" w:rsidR="0081180A" w:rsidRDefault="0081180A" w:rsidP="0015153D"/>
    <w:p w14:paraId="12299D76" w14:textId="77777777" w:rsidR="004C01F3" w:rsidRDefault="004C01F3">
      <w:r>
        <w:br w:type="page"/>
      </w:r>
    </w:p>
    <w:p w14:paraId="259203C6" w14:textId="3EB3C8C2" w:rsidR="00BD1874" w:rsidRDefault="004C01F3" w:rsidP="004C01F3">
      <w:pPr>
        <w:pStyle w:val="Heading2"/>
      </w:pPr>
      <w:r>
        <w:lastRenderedPageBreak/>
        <w:t>Appendix B: Pipeline carbon reduction projects</w:t>
      </w:r>
    </w:p>
    <w:p w14:paraId="178FA295" w14:textId="17146E55" w:rsidR="004C01F3" w:rsidRPr="004C01F3" w:rsidRDefault="004C01F3" w:rsidP="004C01F3">
      <w:r>
        <w:t>The following table outlines projects that have been identified and quantified for potential tendering during 2015/16. Beyond these projects, there are over 250 proposed projects that await quantification. A key focus of 2015/16 will be to build on this project register by way of site surveys and audits. This will strengthen the project pipeline, ensuring that we can meet our commitments to reduce carbon emission.</w:t>
      </w:r>
    </w:p>
    <w:tbl>
      <w:tblPr>
        <w:tblStyle w:val="GridTable4-Accent1"/>
        <w:tblW w:w="9016" w:type="dxa"/>
        <w:tblLook w:val="04A0" w:firstRow="1" w:lastRow="0" w:firstColumn="1" w:lastColumn="0" w:noHBand="0" w:noVBand="1"/>
      </w:tblPr>
      <w:tblGrid>
        <w:gridCol w:w="2471"/>
        <w:gridCol w:w="1274"/>
        <w:gridCol w:w="917"/>
        <w:gridCol w:w="1268"/>
        <w:gridCol w:w="1058"/>
        <w:gridCol w:w="1058"/>
        <w:gridCol w:w="970"/>
      </w:tblGrid>
      <w:tr w:rsidR="00AE5F7A" w:rsidRPr="004C01F3" w14:paraId="206EC1F8" w14:textId="77777777" w:rsidTr="00866F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71" w:type="dxa"/>
            <w:noWrap/>
            <w:hideMark/>
          </w:tcPr>
          <w:p w14:paraId="5D98463D" w14:textId="77777777" w:rsidR="00BD1874" w:rsidRPr="004C01F3" w:rsidRDefault="00BD1874" w:rsidP="004C01F3">
            <w:pPr>
              <w:keepNext/>
              <w:keepLines/>
              <w:rPr>
                <w:rFonts w:ascii="Calibri" w:eastAsia="Times New Roman" w:hAnsi="Calibri" w:cs="Times New Roman"/>
                <w:lang w:eastAsia="en-GB"/>
              </w:rPr>
            </w:pPr>
            <w:r w:rsidRPr="004C01F3">
              <w:rPr>
                <w:rFonts w:ascii="Calibri" w:eastAsia="Times New Roman" w:hAnsi="Calibri" w:cs="Times New Roman"/>
                <w:lang w:eastAsia="en-GB"/>
              </w:rPr>
              <w:t>Project description</w:t>
            </w:r>
          </w:p>
        </w:tc>
        <w:tc>
          <w:tcPr>
            <w:tcW w:w="1274" w:type="dxa"/>
            <w:noWrap/>
            <w:hideMark/>
          </w:tcPr>
          <w:p w14:paraId="35CB822E" w14:textId="77777777" w:rsidR="00BD1874" w:rsidRPr="004C01F3" w:rsidRDefault="00BD1874" w:rsidP="004C01F3">
            <w:pPr>
              <w:keepNext/>
              <w:keepLine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4C01F3">
              <w:rPr>
                <w:rFonts w:ascii="Calibri" w:eastAsia="Times New Roman" w:hAnsi="Calibri" w:cs="Times New Roman"/>
                <w:lang w:eastAsia="en-GB"/>
              </w:rPr>
              <w:t>Date added</w:t>
            </w:r>
          </w:p>
        </w:tc>
        <w:tc>
          <w:tcPr>
            <w:tcW w:w="917" w:type="dxa"/>
            <w:noWrap/>
            <w:hideMark/>
          </w:tcPr>
          <w:p w14:paraId="5B4DE764" w14:textId="77777777" w:rsidR="00BD1874" w:rsidRPr="004C01F3" w:rsidRDefault="00BD1874" w:rsidP="004C01F3">
            <w:pPr>
              <w:keepNext/>
              <w:keepLine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4C01F3">
              <w:rPr>
                <w:rFonts w:ascii="Calibri" w:eastAsia="Times New Roman" w:hAnsi="Calibri" w:cs="Times New Roman"/>
                <w:lang w:eastAsia="en-GB"/>
              </w:rPr>
              <w:t>Status</w:t>
            </w:r>
          </w:p>
        </w:tc>
        <w:tc>
          <w:tcPr>
            <w:tcW w:w="1268" w:type="dxa"/>
            <w:noWrap/>
            <w:hideMark/>
          </w:tcPr>
          <w:p w14:paraId="56B2C882" w14:textId="77777777" w:rsidR="00BD1874" w:rsidRPr="004C01F3" w:rsidRDefault="00BD1874" w:rsidP="004C01F3">
            <w:pPr>
              <w:keepNext/>
              <w:keepLine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4C01F3">
              <w:rPr>
                <w:rFonts w:ascii="Calibri" w:eastAsia="Times New Roman" w:hAnsi="Calibri" w:cs="Times New Roman"/>
                <w:lang w:eastAsia="en-GB"/>
              </w:rPr>
              <w:t>Cost</w:t>
            </w:r>
          </w:p>
        </w:tc>
        <w:tc>
          <w:tcPr>
            <w:tcW w:w="1058" w:type="dxa"/>
            <w:noWrap/>
            <w:hideMark/>
          </w:tcPr>
          <w:p w14:paraId="23C3139F" w14:textId="776DE6CC" w:rsidR="00BD1874" w:rsidRPr="004C01F3" w:rsidRDefault="004C01F3" w:rsidP="004C01F3">
            <w:pPr>
              <w:keepNext/>
              <w:keepLine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C</w:t>
            </w:r>
            <w:r w:rsidR="00BD1874" w:rsidRPr="004C01F3">
              <w:rPr>
                <w:rFonts w:ascii="Calibri" w:eastAsia="Times New Roman" w:hAnsi="Calibri" w:cs="Times New Roman"/>
                <w:lang w:eastAsia="en-GB"/>
              </w:rPr>
              <w:t>ost savings</w:t>
            </w:r>
          </w:p>
        </w:tc>
        <w:tc>
          <w:tcPr>
            <w:tcW w:w="1058" w:type="dxa"/>
            <w:noWrap/>
            <w:hideMark/>
          </w:tcPr>
          <w:p w14:paraId="0DD47FED" w14:textId="1F32E030" w:rsidR="00BD1874" w:rsidRPr="004C01F3" w:rsidRDefault="004C01F3" w:rsidP="004C01F3">
            <w:pPr>
              <w:keepNext/>
              <w:keepLine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Pr>
                <w:rFonts w:ascii="Calibri" w:eastAsia="Times New Roman" w:hAnsi="Calibri" w:cs="Times New Roman"/>
                <w:lang w:eastAsia="en-GB"/>
              </w:rPr>
              <w:t>C</w:t>
            </w:r>
            <w:r w:rsidR="00BD1874" w:rsidRPr="004C01F3">
              <w:rPr>
                <w:rFonts w:ascii="Calibri" w:eastAsia="Times New Roman" w:hAnsi="Calibri" w:cs="Times New Roman"/>
                <w:lang w:eastAsia="en-GB"/>
              </w:rPr>
              <w:t>arbon savings</w:t>
            </w:r>
          </w:p>
        </w:tc>
        <w:tc>
          <w:tcPr>
            <w:tcW w:w="970" w:type="dxa"/>
            <w:noWrap/>
            <w:hideMark/>
          </w:tcPr>
          <w:p w14:paraId="2C3C4D50" w14:textId="227BD1F3" w:rsidR="004C01F3" w:rsidRPr="004C01F3" w:rsidRDefault="004C01F3" w:rsidP="004C01F3">
            <w:pPr>
              <w:keepNext/>
              <w:keepLine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en-GB"/>
              </w:rPr>
            </w:pPr>
            <w:r w:rsidRPr="004C01F3">
              <w:rPr>
                <w:rFonts w:ascii="Calibri" w:eastAsia="Times New Roman" w:hAnsi="Calibri" w:cs="Times New Roman"/>
                <w:lang w:eastAsia="en-GB"/>
              </w:rPr>
              <w:t>S</w:t>
            </w:r>
            <w:r w:rsidR="00BD1874" w:rsidRPr="004C01F3">
              <w:rPr>
                <w:rFonts w:ascii="Calibri" w:eastAsia="Times New Roman" w:hAnsi="Calibri" w:cs="Times New Roman"/>
                <w:lang w:eastAsia="en-GB"/>
              </w:rPr>
              <w:t>imple payback</w:t>
            </w:r>
            <w:r w:rsidRPr="004C01F3">
              <w:rPr>
                <w:rFonts w:ascii="Calibri" w:eastAsia="Times New Roman" w:hAnsi="Calibri" w:cs="Times New Roman"/>
                <w:lang w:eastAsia="en-GB"/>
              </w:rPr>
              <w:t xml:space="preserve"> (years)</w:t>
            </w:r>
          </w:p>
        </w:tc>
      </w:tr>
      <w:tr w:rsidR="00AE5F7A" w:rsidRPr="00BD1874" w14:paraId="5FF6764E" w14:textId="77777777" w:rsidTr="00866F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71" w:type="dxa"/>
            <w:noWrap/>
            <w:hideMark/>
          </w:tcPr>
          <w:p w14:paraId="5413FAA5" w14:textId="77777777" w:rsidR="00BD1874" w:rsidRPr="00BD1874" w:rsidRDefault="00BD1874" w:rsidP="00BD1874">
            <w:pPr>
              <w:rPr>
                <w:rFonts w:ascii="Calibri" w:eastAsia="Times New Roman" w:hAnsi="Calibri" w:cs="Times New Roman"/>
                <w:b w:val="0"/>
                <w:color w:val="000000"/>
                <w:sz w:val="20"/>
                <w:szCs w:val="20"/>
                <w:lang w:eastAsia="en-GB"/>
              </w:rPr>
            </w:pPr>
            <w:r w:rsidRPr="00BD1874">
              <w:rPr>
                <w:rFonts w:ascii="Calibri" w:eastAsia="Times New Roman" w:hAnsi="Calibri" w:cs="Times New Roman"/>
                <w:b w:val="0"/>
                <w:color w:val="000000"/>
                <w:sz w:val="20"/>
                <w:szCs w:val="20"/>
                <w:lang w:eastAsia="en-GB"/>
              </w:rPr>
              <w:t>Strand Campus Philosophy Boiler Controls</w:t>
            </w:r>
          </w:p>
        </w:tc>
        <w:tc>
          <w:tcPr>
            <w:tcW w:w="1274" w:type="dxa"/>
            <w:noWrap/>
            <w:hideMark/>
          </w:tcPr>
          <w:p w14:paraId="1D836496"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31/03/2015</w:t>
            </w:r>
          </w:p>
        </w:tc>
        <w:tc>
          <w:tcPr>
            <w:tcW w:w="917" w:type="dxa"/>
            <w:noWrap/>
            <w:hideMark/>
          </w:tcPr>
          <w:p w14:paraId="54B67D65" w14:textId="77777777" w:rsidR="00BD1874" w:rsidRPr="00BD1874" w:rsidRDefault="00BD1874" w:rsidP="00BD18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RGF4</w:t>
            </w:r>
          </w:p>
        </w:tc>
        <w:tc>
          <w:tcPr>
            <w:tcW w:w="1268" w:type="dxa"/>
            <w:noWrap/>
            <w:hideMark/>
          </w:tcPr>
          <w:p w14:paraId="77F580A7" w14:textId="447D5CEE" w:rsidR="00BD1874" w:rsidRPr="00BD1874" w:rsidRDefault="00BD1874" w:rsidP="00AE5F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£5,876</w:t>
            </w:r>
          </w:p>
        </w:tc>
        <w:tc>
          <w:tcPr>
            <w:tcW w:w="1058" w:type="dxa"/>
            <w:noWrap/>
            <w:hideMark/>
          </w:tcPr>
          <w:p w14:paraId="20557544" w14:textId="78E726D9" w:rsidR="00BD1874" w:rsidRPr="00BD1874" w:rsidRDefault="00BD1874" w:rsidP="00AE5F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£4,148</w:t>
            </w:r>
          </w:p>
        </w:tc>
        <w:tc>
          <w:tcPr>
            <w:tcW w:w="1058" w:type="dxa"/>
            <w:noWrap/>
            <w:hideMark/>
          </w:tcPr>
          <w:p w14:paraId="09806914"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15.0</w:t>
            </w:r>
          </w:p>
        </w:tc>
        <w:tc>
          <w:tcPr>
            <w:tcW w:w="970" w:type="dxa"/>
            <w:noWrap/>
            <w:hideMark/>
          </w:tcPr>
          <w:p w14:paraId="1E4BE0A9"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1.4</w:t>
            </w:r>
          </w:p>
        </w:tc>
      </w:tr>
      <w:tr w:rsidR="00AE5F7A" w:rsidRPr="00BD1874" w14:paraId="1B5A17A2" w14:textId="77777777" w:rsidTr="00AE5F7A">
        <w:trPr>
          <w:trHeight w:val="300"/>
        </w:trPr>
        <w:tc>
          <w:tcPr>
            <w:cnfStyle w:val="001000000000" w:firstRow="0" w:lastRow="0" w:firstColumn="1" w:lastColumn="0" w:oddVBand="0" w:evenVBand="0" w:oddHBand="0" w:evenHBand="0" w:firstRowFirstColumn="0" w:firstRowLastColumn="0" w:lastRowFirstColumn="0" w:lastRowLastColumn="0"/>
            <w:tcW w:w="2477" w:type="dxa"/>
            <w:noWrap/>
            <w:hideMark/>
          </w:tcPr>
          <w:p w14:paraId="0D25700C" w14:textId="77777777" w:rsidR="00BD1874" w:rsidRPr="00BD1874" w:rsidRDefault="00BD1874" w:rsidP="00BD1874">
            <w:pPr>
              <w:rPr>
                <w:rFonts w:ascii="Calibri" w:eastAsia="Times New Roman" w:hAnsi="Calibri" w:cs="Times New Roman"/>
                <w:b w:val="0"/>
                <w:color w:val="000000"/>
                <w:sz w:val="20"/>
                <w:szCs w:val="20"/>
                <w:lang w:eastAsia="en-GB"/>
              </w:rPr>
            </w:pPr>
            <w:r w:rsidRPr="00BD1874">
              <w:rPr>
                <w:rFonts w:ascii="Calibri" w:eastAsia="Times New Roman" w:hAnsi="Calibri" w:cs="Times New Roman"/>
                <w:b w:val="0"/>
                <w:color w:val="000000"/>
                <w:sz w:val="20"/>
                <w:szCs w:val="20"/>
                <w:lang w:eastAsia="en-GB"/>
              </w:rPr>
              <w:t>Maughan Library - LG63 Lighting</w:t>
            </w:r>
          </w:p>
        </w:tc>
        <w:tc>
          <w:tcPr>
            <w:tcW w:w="1277" w:type="dxa"/>
            <w:noWrap/>
            <w:hideMark/>
          </w:tcPr>
          <w:p w14:paraId="70482A70"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31/03/2015</w:t>
            </w:r>
          </w:p>
        </w:tc>
        <w:tc>
          <w:tcPr>
            <w:tcW w:w="919" w:type="dxa"/>
            <w:noWrap/>
            <w:hideMark/>
          </w:tcPr>
          <w:p w14:paraId="1B90FFBA" w14:textId="77777777" w:rsidR="00BD1874" w:rsidRPr="00BD1874" w:rsidRDefault="00BD1874" w:rsidP="00BD18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RGF4</w:t>
            </w:r>
          </w:p>
        </w:tc>
        <w:tc>
          <w:tcPr>
            <w:tcW w:w="1271" w:type="dxa"/>
            <w:noWrap/>
            <w:hideMark/>
          </w:tcPr>
          <w:p w14:paraId="24AF51EC" w14:textId="6112A745" w:rsidR="00BD1874" w:rsidRPr="00BD1874" w:rsidRDefault="00BD1874" w:rsidP="00AE5F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£2,968</w:t>
            </w:r>
          </w:p>
        </w:tc>
        <w:tc>
          <w:tcPr>
            <w:tcW w:w="1060" w:type="dxa"/>
            <w:noWrap/>
            <w:hideMark/>
          </w:tcPr>
          <w:p w14:paraId="74E68BEB" w14:textId="1282DD70" w:rsidR="00BD1874" w:rsidRPr="00BD1874" w:rsidRDefault="00BD1874" w:rsidP="00AE5F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w:t>
            </w:r>
            <w:r w:rsidR="00AE5F7A" w:rsidRPr="00AE5F7A">
              <w:rPr>
                <w:rFonts w:ascii="Calibri" w:eastAsia="Times New Roman" w:hAnsi="Calibri" w:cs="Times New Roman"/>
                <w:color w:val="000000"/>
                <w:sz w:val="20"/>
                <w:szCs w:val="20"/>
                <w:lang w:eastAsia="en-GB"/>
              </w:rPr>
              <w:t>683</w:t>
            </w:r>
          </w:p>
        </w:tc>
        <w:tc>
          <w:tcPr>
            <w:tcW w:w="1060" w:type="dxa"/>
            <w:noWrap/>
            <w:hideMark/>
          </w:tcPr>
          <w:p w14:paraId="4B92B79F"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2.5</w:t>
            </w:r>
          </w:p>
        </w:tc>
        <w:tc>
          <w:tcPr>
            <w:tcW w:w="952" w:type="dxa"/>
            <w:noWrap/>
            <w:hideMark/>
          </w:tcPr>
          <w:p w14:paraId="569B3556"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4.3</w:t>
            </w:r>
          </w:p>
        </w:tc>
      </w:tr>
      <w:tr w:rsidR="00AE5F7A" w:rsidRPr="00BD1874" w14:paraId="641060B0" w14:textId="77777777" w:rsidTr="00AE5F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77" w:type="dxa"/>
            <w:noWrap/>
            <w:hideMark/>
          </w:tcPr>
          <w:p w14:paraId="6A497133" w14:textId="77777777" w:rsidR="00BD1874" w:rsidRPr="00BD1874" w:rsidRDefault="00BD1874" w:rsidP="00BD1874">
            <w:pPr>
              <w:rPr>
                <w:rFonts w:ascii="Calibri" w:eastAsia="Times New Roman" w:hAnsi="Calibri" w:cs="Times New Roman"/>
                <w:b w:val="0"/>
                <w:color w:val="000000"/>
                <w:sz w:val="20"/>
                <w:szCs w:val="20"/>
                <w:lang w:eastAsia="en-GB"/>
              </w:rPr>
            </w:pPr>
            <w:r w:rsidRPr="00BD1874">
              <w:rPr>
                <w:rFonts w:ascii="Calibri" w:eastAsia="Times New Roman" w:hAnsi="Calibri" w:cs="Times New Roman"/>
                <w:b w:val="0"/>
                <w:color w:val="000000"/>
                <w:sz w:val="20"/>
                <w:szCs w:val="20"/>
                <w:lang w:eastAsia="en-GB"/>
              </w:rPr>
              <w:t>Strand Main - Lagging HWS/CT/VT pipework in the Strand Building</w:t>
            </w:r>
          </w:p>
        </w:tc>
        <w:tc>
          <w:tcPr>
            <w:tcW w:w="1277" w:type="dxa"/>
            <w:noWrap/>
            <w:hideMark/>
          </w:tcPr>
          <w:p w14:paraId="1E889915"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31/03/2015</w:t>
            </w:r>
          </w:p>
        </w:tc>
        <w:tc>
          <w:tcPr>
            <w:tcW w:w="919" w:type="dxa"/>
            <w:noWrap/>
            <w:hideMark/>
          </w:tcPr>
          <w:p w14:paraId="79656F27" w14:textId="77777777" w:rsidR="00BD1874" w:rsidRPr="00BD1874" w:rsidRDefault="00BD1874" w:rsidP="00BD18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PO raised</w:t>
            </w:r>
          </w:p>
        </w:tc>
        <w:tc>
          <w:tcPr>
            <w:tcW w:w="1271" w:type="dxa"/>
            <w:noWrap/>
            <w:hideMark/>
          </w:tcPr>
          <w:p w14:paraId="436611AC" w14:textId="65F249AB" w:rsidR="00BD1874" w:rsidRPr="00BD1874" w:rsidRDefault="00BD1874" w:rsidP="00AE5F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£10,195</w:t>
            </w:r>
          </w:p>
        </w:tc>
        <w:tc>
          <w:tcPr>
            <w:tcW w:w="1060" w:type="dxa"/>
            <w:noWrap/>
            <w:hideMark/>
          </w:tcPr>
          <w:p w14:paraId="3DC0B98B" w14:textId="283D47F1" w:rsidR="00BD1874" w:rsidRPr="00BD1874" w:rsidRDefault="00BD1874" w:rsidP="00AE5F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£34,012</w:t>
            </w:r>
          </w:p>
        </w:tc>
        <w:tc>
          <w:tcPr>
            <w:tcW w:w="1060" w:type="dxa"/>
            <w:noWrap/>
            <w:hideMark/>
          </w:tcPr>
          <w:p w14:paraId="259ADCF8"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122.8</w:t>
            </w:r>
          </w:p>
        </w:tc>
        <w:tc>
          <w:tcPr>
            <w:tcW w:w="952" w:type="dxa"/>
            <w:noWrap/>
            <w:hideMark/>
          </w:tcPr>
          <w:p w14:paraId="411BD6E8"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0.3</w:t>
            </w:r>
          </w:p>
        </w:tc>
      </w:tr>
      <w:tr w:rsidR="00AE5F7A" w:rsidRPr="00BD1874" w14:paraId="2E3F077B" w14:textId="77777777" w:rsidTr="00AE5F7A">
        <w:trPr>
          <w:trHeight w:val="300"/>
        </w:trPr>
        <w:tc>
          <w:tcPr>
            <w:cnfStyle w:val="001000000000" w:firstRow="0" w:lastRow="0" w:firstColumn="1" w:lastColumn="0" w:oddVBand="0" w:evenVBand="0" w:oddHBand="0" w:evenHBand="0" w:firstRowFirstColumn="0" w:firstRowLastColumn="0" w:lastRowFirstColumn="0" w:lastRowLastColumn="0"/>
            <w:tcW w:w="2477" w:type="dxa"/>
            <w:noWrap/>
            <w:hideMark/>
          </w:tcPr>
          <w:p w14:paraId="635A3B0B" w14:textId="77777777" w:rsidR="00BD1874" w:rsidRPr="00BD1874" w:rsidRDefault="00BD1874" w:rsidP="00BD1874">
            <w:pPr>
              <w:rPr>
                <w:rFonts w:ascii="Calibri" w:eastAsia="Times New Roman" w:hAnsi="Calibri" w:cs="Times New Roman"/>
                <w:b w:val="0"/>
                <w:color w:val="000000"/>
                <w:sz w:val="20"/>
                <w:szCs w:val="20"/>
                <w:lang w:eastAsia="en-GB"/>
              </w:rPr>
            </w:pPr>
            <w:r w:rsidRPr="00BD1874">
              <w:rPr>
                <w:rFonts w:ascii="Calibri" w:eastAsia="Times New Roman" w:hAnsi="Calibri" w:cs="Times New Roman"/>
                <w:b w:val="0"/>
                <w:color w:val="000000"/>
                <w:sz w:val="20"/>
                <w:szCs w:val="20"/>
                <w:lang w:eastAsia="en-GB"/>
              </w:rPr>
              <w:t>Energy Performance Contract Phase 2 and 3</w:t>
            </w:r>
          </w:p>
        </w:tc>
        <w:tc>
          <w:tcPr>
            <w:tcW w:w="1277" w:type="dxa"/>
            <w:noWrap/>
            <w:hideMark/>
          </w:tcPr>
          <w:p w14:paraId="1797FF8C"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20/03/2015</w:t>
            </w:r>
          </w:p>
        </w:tc>
        <w:tc>
          <w:tcPr>
            <w:tcW w:w="919" w:type="dxa"/>
            <w:noWrap/>
            <w:hideMark/>
          </w:tcPr>
          <w:p w14:paraId="3D335C93" w14:textId="77777777" w:rsidR="00BD1874" w:rsidRPr="00BD1874" w:rsidRDefault="00BD1874" w:rsidP="00BD18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PAR2</w:t>
            </w:r>
          </w:p>
        </w:tc>
        <w:tc>
          <w:tcPr>
            <w:tcW w:w="1271" w:type="dxa"/>
            <w:noWrap/>
            <w:hideMark/>
          </w:tcPr>
          <w:p w14:paraId="76734E83" w14:textId="237FD2F9" w:rsidR="00BD1874" w:rsidRPr="00BD1874" w:rsidRDefault="00BD1874" w:rsidP="00AE5F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£2,000,000</w:t>
            </w:r>
          </w:p>
        </w:tc>
        <w:tc>
          <w:tcPr>
            <w:tcW w:w="1060" w:type="dxa"/>
            <w:noWrap/>
            <w:hideMark/>
          </w:tcPr>
          <w:p w14:paraId="4097F2FF" w14:textId="199A43CD" w:rsidR="00BD1874" w:rsidRPr="00BD1874" w:rsidRDefault="00BD1874" w:rsidP="00AE5F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£422,765</w:t>
            </w:r>
          </w:p>
        </w:tc>
        <w:tc>
          <w:tcPr>
            <w:tcW w:w="1060" w:type="dxa"/>
            <w:noWrap/>
            <w:hideMark/>
          </w:tcPr>
          <w:p w14:paraId="205200C6"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1594.8</w:t>
            </w:r>
          </w:p>
        </w:tc>
        <w:tc>
          <w:tcPr>
            <w:tcW w:w="952" w:type="dxa"/>
            <w:noWrap/>
            <w:hideMark/>
          </w:tcPr>
          <w:p w14:paraId="04F46122"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4.7</w:t>
            </w:r>
          </w:p>
        </w:tc>
      </w:tr>
      <w:tr w:rsidR="00AE5F7A" w:rsidRPr="00BD1874" w14:paraId="3D9A5998" w14:textId="77777777" w:rsidTr="00AE5F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77" w:type="dxa"/>
            <w:noWrap/>
            <w:hideMark/>
          </w:tcPr>
          <w:p w14:paraId="430EC104" w14:textId="77777777" w:rsidR="00BD1874" w:rsidRPr="00BD1874" w:rsidRDefault="00BD1874" w:rsidP="00BD1874">
            <w:pPr>
              <w:rPr>
                <w:rFonts w:ascii="Calibri" w:eastAsia="Times New Roman" w:hAnsi="Calibri" w:cs="Times New Roman"/>
                <w:b w:val="0"/>
                <w:color w:val="000000"/>
                <w:sz w:val="20"/>
                <w:szCs w:val="20"/>
                <w:lang w:eastAsia="en-GB"/>
              </w:rPr>
            </w:pPr>
            <w:r w:rsidRPr="00BD1874">
              <w:rPr>
                <w:rFonts w:ascii="Calibri" w:eastAsia="Times New Roman" w:hAnsi="Calibri" w:cs="Times New Roman"/>
                <w:b w:val="0"/>
                <w:color w:val="000000"/>
                <w:sz w:val="20"/>
                <w:szCs w:val="20"/>
                <w:lang w:eastAsia="en-GB"/>
              </w:rPr>
              <w:t>Residences (SSA &amp; GDS) Replacement of Bedroom Fridges With communal Fridges</w:t>
            </w:r>
          </w:p>
        </w:tc>
        <w:tc>
          <w:tcPr>
            <w:tcW w:w="1277" w:type="dxa"/>
            <w:noWrap/>
            <w:hideMark/>
          </w:tcPr>
          <w:p w14:paraId="280F8D4C"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07/01/2015</w:t>
            </w:r>
          </w:p>
        </w:tc>
        <w:tc>
          <w:tcPr>
            <w:tcW w:w="919" w:type="dxa"/>
            <w:noWrap/>
            <w:hideMark/>
          </w:tcPr>
          <w:p w14:paraId="77AC6417" w14:textId="77777777" w:rsidR="00BD1874" w:rsidRPr="00BD1874" w:rsidRDefault="00BD1874" w:rsidP="00BD18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PO raised</w:t>
            </w:r>
          </w:p>
        </w:tc>
        <w:tc>
          <w:tcPr>
            <w:tcW w:w="1271" w:type="dxa"/>
            <w:noWrap/>
            <w:hideMark/>
          </w:tcPr>
          <w:p w14:paraId="2B88AB23" w14:textId="2B2AE041" w:rsidR="00BD1874" w:rsidRPr="00BD1874" w:rsidRDefault="00BD1874" w:rsidP="00AE5F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£119,932</w:t>
            </w:r>
          </w:p>
        </w:tc>
        <w:tc>
          <w:tcPr>
            <w:tcW w:w="1060" w:type="dxa"/>
            <w:noWrap/>
            <w:hideMark/>
          </w:tcPr>
          <w:p w14:paraId="351A1D08" w14:textId="76FD53BC" w:rsidR="00BD1874" w:rsidRPr="00BD1874" w:rsidRDefault="00BD1874" w:rsidP="00AE5F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£104,112</w:t>
            </w:r>
          </w:p>
        </w:tc>
        <w:tc>
          <w:tcPr>
            <w:tcW w:w="1060" w:type="dxa"/>
            <w:noWrap/>
            <w:hideMark/>
          </w:tcPr>
          <w:p w14:paraId="45D8820A"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375.8</w:t>
            </w:r>
          </w:p>
        </w:tc>
        <w:tc>
          <w:tcPr>
            <w:tcW w:w="952" w:type="dxa"/>
            <w:noWrap/>
            <w:hideMark/>
          </w:tcPr>
          <w:p w14:paraId="1E019413"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1.2</w:t>
            </w:r>
          </w:p>
        </w:tc>
      </w:tr>
      <w:tr w:rsidR="00AE5F7A" w:rsidRPr="00BD1874" w14:paraId="4F31BA22" w14:textId="77777777" w:rsidTr="00AE5F7A">
        <w:trPr>
          <w:trHeight w:val="300"/>
        </w:trPr>
        <w:tc>
          <w:tcPr>
            <w:cnfStyle w:val="001000000000" w:firstRow="0" w:lastRow="0" w:firstColumn="1" w:lastColumn="0" w:oddVBand="0" w:evenVBand="0" w:oddHBand="0" w:evenHBand="0" w:firstRowFirstColumn="0" w:firstRowLastColumn="0" w:lastRowFirstColumn="0" w:lastRowLastColumn="0"/>
            <w:tcW w:w="2477" w:type="dxa"/>
            <w:noWrap/>
            <w:hideMark/>
          </w:tcPr>
          <w:p w14:paraId="656BFB00" w14:textId="77777777" w:rsidR="00BD1874" w:rsidRPr="00BD1874" w:rsidRDefault="00BD1874" w:rsidP="00BD1874">
            <w:pPr>
              <w:rPr>
                <w:rFonts w:ascii="Calibri" w:eastAsia="Times New Roman" w:hAnsi="Calibri" w:cs="Times New Roman"/>
                <w:b w:val="0"/>
                <w:color w:val="000000"/>
                <w:sz w:val="20"/>
                <w:szCs w:val="20"/>
                <w:lang w:eastAsia="en-GB"/>
              </w:rPr>
            </w:pPr>
            <w:r w:rsidRPr="00BD1874">
              <w:rPr>
                <w:rFonts w:ascii="Calibri" w:eastAsia="Times New Roman" w:hAnsi="Calibri" w:cs="Times New Roman"/>
                <w:b w:val="0"/>
                <w:color w:val="000000"/>
                <w:sz w:val="20"/>
                <w:szCs w:val="20"/>
                <w:lang w:eastAsia="en-GB"/>
              </w:rPr>
              <w:t>Lighting replacement in SSA gym &amp; Office area</w:t>
            </w:r>
          </w:p>
        </w:tc>
        <w:tc>
          <w:tcPr>
            <w:tcW w:w="1277" w:type="dxa"/>
            <w:noWrap/>
            <w:hideMark/>
          </w:tcPr>
          <w:p w14:paraId="7A892695"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07/01/2015</w:t>
            </w:r>
          </w:p>
        </w:tc>
        <w:tc>
          <w:tcPr>
            <w:tcW w:w="919" w:type="dxa"/>
            <w:noWrap/>
            <w:hideMark/>
          </w:tcPr>
          <w:p w14:paraId="7A9A1E6F" w14:textId="77777777" w:rsidR="00BD1874" w:rsidRPr="00BD1874" w:rsidRDefault="00BD1874" w:rsidP="00BD18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RGF4</w:t>
            </w:r>
          </w:p>
        </w:tc>
        <w:tc>
          <w:tcPr>
            <w:tcW w:w="1271" w:type="dxa"/>
            <w:noWrap/>
            <w:hideMark/>
          </w:tcPr>
          <w:p w14:paraId="058E6F5B" w14:textId="38ABEBEC" w:rsidR="00BD1874" w:rsidRPr="00BD1874" w:rsidRDefault="00BD1874" w:rsidP="00AE5F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£30,800</w:t>
            </w:r>
          </w:p>
        </w:tc>
        <w:tc>
          <w:tcPr>
            <w:tcW w:w="1060" w:type="dxa"/>
            <w:noWrap/>
            <w:hideMark/>
          </w:tcPr>
          <w:p w14:paraId="4452A03E" w14:textId="755A0C36" w:rsidR="00BD1874" w:rsidRPr="00BD1874" w:rsidRDefault="00BD1874" w:rsidP="00BD18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w:t>
            </w:r>
            <w:r w:rsidR="00AE5F7A" w:rsidRPr="00AE5F7A">
              <w:rPr>
                <w:rFonts w:ascii="Calibri" w:eastAsia="Times New Roman" w:hAnsi="Calibri" w:cs="Times New Roman"/>
                <w:color w:val="000000"/>
                <w:sz w:val="20"/>
                <w:szCs w:val="20"/>
                <w:lang w:eastAsia="en-GB"/>
              </w:rPr>
              <w:t>4,135</w:t>
            </w:r>
          </w:p>
        </w:tc>
        <w:tc>
          <w:tcPr>
            <w:tcW w:w="1060" w:type="dxa"/>
            <w:noWrap/>
            <w:hideMark/>
          </w:tcPr>
          <w:p w14:paraId="30DA4E7B"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14.9</w:t>
            </w:r>
          </w:p>
        </w:tc>
        <w:tc>
          <w:tcPr>
            <w:tcW w:w="952" w:type="dxa"/>
            <w:noWrap/>
            <w:hideMark/>
          </w:tcPr>
          <w:p w14:paraId="42018400"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7.4</w:t>
            </w:r>
          </w:p>
        </w:tc>
      </w:tr>
      <w:tr w:rsidR="00AE5F7A" w:rsidRPr="00BD1874" w14:paraId="53598BCF" w14:textId="77777777" w:rsidTr="00AE5F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77" w:type="dxa"/>
            <w:noWrap/>
            <w:hideMark/>
          </w:tcPr>
          <w:p w14:paraId="41BE84CA" w14:textId="77777777" w:rsidR="00BD1874" w:rsidRPr="00BD1874" w:rsidRDefault="00BD1874" w:rsidP="00BD1874">
            <w:pPr>
              <w:rPr>
                <w:rFonts w:ascii="Calibri" w:eastAsia="Times New Roman" w:hAnsi="Calibri" w:cs="Times New Roman"/>
                <w:b w:val="0"/>
                <w:color w:val="000000"/>
                <w:sz w:val="20"/>
                <w:szCs w:val="20"/>
                <w:lang w:eastAsia="en-GB"/>
              </w:rPr>
            </w:pPr>
            <w:r w:rsidRPr="00BD1874">
              <w:rPr>
                <w:rFonts w:ascii="Calibri" w:eastAsia="Times New Roman" w:hAnsi="Calibri" w:cs="Times New Roman"/>
                <w:b w:val="0"/>
                <w:color w:val="000000"/>
                <w:sz w:val="20"/>
                <w:szCs w:val="20"/>
                <w:lang w:eastAsia="en-GB"/>
              </w:rPr>
              <w:t>NHH Terminal Heating Pumps &amp; Water Heating Pumps</w:t>
            </w:r>
          </w:p>
        </w:tc>
        <w:tc>
          <w:tcPr>
            <w:tcW w:w="1277" w:type="dxa"/>
            <w:noWrap/>
            <w:hideMark/>
          </w:tcPr>
          <w:p w14:paraId="44F91C70"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17/07/2015</w:t>
            </w:r>
          </w:p>
        </w:tc>
        <w:tc>
          <w:tcPr>
            <w:tcW w:w="919" w:type="dxa"/>
            <w:noWrap/>
            <w:hideMark/>
          </w:tcPr>
          <w:p w14:paraId="23C4D379" w14:textId="77777777" w:rsidR="00BD1874" w:rsidRPr="00BD1874" w:rsidRDefault="00BD1874" w:rsidP="00BD18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PAR2 Light</w:t>
            </w:r>
          </w:p>
        </w:tc>
        <w:tc>
          <w:tcPr>
            <w:tcW w:w="1271" w:type="dxa"/>
            <w:noWrap/>
            <w:hideMark/>
          </w:tcPr>
          <w:p w14:paraId="50F19A2E" w14:textId="358A852A" w:rsidR="00BD1874" w:rsidRPr="00BD1874" w:rsidRDefault="00BD1874" w:rsidP="00AE5F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£48,399</w:t>
            </w:r>
          </w:p>
        </w:tc>
        <w:tc>
          <w:tcPr>
            <w:tcW w:w="1060" w:type="dxa"/>
            <w:noWrap/>
            <w:hideMark/>
          </w:tcPr>
          <w:p w14:paraId="5FB4ACA7" w14:textId="351B7492" w:rsidR="00BD1874" w:rsidRPr="00BD1874" w:rsidRDefault="00BD1874" w:rsidP="00AE5F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£3,201</w:t>
            </w:r>
          </w:p>
        </w:tc>
        <w:tc>
          <w:tcPr>
            <w:tcW w:w="1060" w:type="dxa"/>
            <w:noWrap/>
            <w:hideMark/>
          </w:tcPr>
          <w:p w14:paraId="3150699F"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11.6</w:t>
            </w:r>
          </w:p>
        </w:tc>
        <w:tc>
          <w:tcPr>
            <w:tcW w:w="952" w:type="dxa"/>
            <w:noWrap/>
            <w:hideMark/>
          </w:tcPr>
          <w:p w14:paraId="74F0C243"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15.1</w:t>
            </w:r>
          </w:p>
        </w:tc>
      </w:tr>
      <w:tr w:rsidR="00AE5F7A" w:rsidRPr="00BD1874" w14:paraId="05B27A3C" w14:textId="77777777" w:rsidTr="00AE5F7A">
        <w:trPr>
          <w:trHeight w:val="300"/>
        </w:trPr>
        <w:tc>
          <w:tcPr>
            <w:cnfStyle w:val="001000000000" w:firstRow="0" w:lastRow="0" w:firstColumn="1" w:lastColumn="0" w:oddVBand="0" w:evenVBand="0" w:oddHBand="0" w:evenHBand="0" w:firstRowFirstColumn="0" w:firstRowLastColumn="0" w:lastRowFirstColumn="0" w:lastRowLastColumn="0"/>
            <w:tcW w:w="2477" w:type="dxa"/>
            <w:noWrap/>
            <w:hideMark/>
          </w:tcPr>
          <w:p w14:paraId="2D556DA0" w14:textId="40E9AA35" w:rsidR="00BD1874" w:rsidRPr="00BD1874" w:rsidRDefault="00BD1874" w:rsidP="00BD1874">
            <w:pPr>
              <w:rPr>
                <w:rFonts w:ascii="Calibri" w:eastAsia="Times New Roman" w:hAnsi="Calibri" w:cs="Times New Roman"/>
                <w:b w:val="0"/>
                <w:color w:val="000000"/>
                <w:sz w:val="20"/>
                <w:szCs w:val="20"/>
                <w:lang w:eastAsia="en-GB"/>
              </w:rPr>
            </w:pPr>
            <w:r w:rsidRPr="00BD1874">
              <w:rPr>
                <w:rFonts w:ascii="Calibri" w:eastAsia="Times New Roman" w:hAnsi="Calibri" w:cs="Times New Roman"/>
                <w:b w:val="0"/>
                <w:color w:val="000000"/>
                <w:sz w:val="20"/>
                <w:szCs w:val="20"/>
                <w:lang w:eastAsia="en-GB"/>
              </w:rPr>
              <w:t xml:space="preserve">SGDP Basement and IOPPN </w:t>
            </w:r>
            <w:r w:rsidR="00AE5F7A" w:rsidRPr="00BD1874">
              <w:rPr>
                <w:rFonts w:ascii="Calibri" w:eastAsia="Times New Roman" w:hAnsi="Calibri" w:cs="Times New Roman"/>
                <w:b w:val="0"/>
                <w:color w:val="000000"/>
                <w:sz w:val="20"/>
                <w:szCs w:val="20"/>
                <w:lang w:eastAsia="en-GB"/>
              </w:rPr>
              <w:t>Lighting</w:t>
            </w:r>
          </w:p>
        </w:tc>
        <w:tc>
          <w:tcPr>
            <w:tcW w:w="1277" w:type="dxa"/>
            <w:noWrap/>
            <w:hideMark/>
          </w:tcPr>
          <w:p w14:paraId="415B5C68"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21/08/2015</w:t>
            </w:r>
          </w:p>
        </w:tc>
        <w:tc>
          <w:tcPr>
            <w:tcW w:w="919" w:type="dxa"/>
            <w:noWrap/>
            <w:hideMark/>
          </w:tcPr>
          <w:p w14:paraId="68F4CDFB" w14:textId="77777777" w:rsidR="00BD1874" w:rsidRPr="00BD1874" w:rsidRDefault="00BD1874" w:rsidP="00BD18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RGF4</w:t>
            </w:r>
          </w:p>
        </w:tc>
        <w:tc>
          <w:tcPr>
            <w:tcW w:w="1271" w:type="dxa"/>
            <w:noWrap/>
            <w:hideMark/>
          </w:tcPr>
          <w:p w14:paraId="128F0BF9" w14:textId="7CB07DD4" w:rsidR="00BD1874" w:rsidRPr="00BD1874" w:rsidRDefault="00BD1874" w:rsidP="00AE5F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£42,006</w:t>
            </w:r>
          </w:p>
        </w:tc>
        <w:tc>
          <w:tcPr>
            <w:tcW w:w="1060" w:type="dxa"/>
            <w:noWrap/>
            <w:hideMark/>
          </w:tcPr>
          <w:p w14:paraId="14CB179E" w14:textId="5709492E" w:rsidR="00BD1874" w:rsidRPr="00BD1874" w:rsidRDefault="00BD1874" w:rsidP="00AE5F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£9,679</w:t>
            </w:r>
          </w:p>
        </w:tc>
        <w:tc>
          <w:tcPr>
            <w:tcW w:w="1060" w:type="dxa"/>
            <w:noWrap/>
            <w:hideMark/>
          </w:tcPr>
          <w:p w14:paraId="4E55B8CD"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34.9</w:t>
            </w:r>
          </w:p>
        </w:tc>
        <w:tc>
          <w:tcPr>
            <w:tcW w:w="952" w:type="dxa"/>
            <w:noWrap/>
            <w:hideMark/>
          </w:tcPr>
          <w:p w14:paraId="499F7759"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4.3</w:t>
            </w:r>
          </w:p>
        </w:tc>
      </w:tr>
      <w:tr w:rsidR="00AE5F7A" w:rsidRPr="00BD1874" w14:paraId="4B8A8FD4" w14:textId="77777777" w:rsidTr="00AE5F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77" w:type="dxa"/>
            <w:noWrap/>
            <w:hideMark/>
          </w:tcPr>
          <w:p w14:paraId="2B080EAA" w14:textId="77777777" w:rsidR="00BD1874" w:rsidRPr="00BD1874" w:rsidRDefault="00BD1874" w:rsidP="00BD1874">
            <w:pPr>
              <w:rPr>
                <w:rFonts w:ascii="Calibri" w:eastAsia="Times New Roman" w:hAnsi="Calibri" w:cs="Times New Roman"/>
                <w:b w:val="0"/>
                <w:color w:val="000000"/>
                <w:sz w:val="20"/>
                <w:szCs w:val="20"/>
                <w:lang w:eastAsia="en-GB"/>
              </w:rPr>
            </w:pPr>
            <w:r w:rsidRPr="00BD1874">
              <w:rPr>
                <w:rFonts w:ascii="Calibri" w:eastAsia="Times New Roman" w:hAnsi="Calibri" w:cs="Times New Roman"/>
                <w:b w:val="0"/>
                <w:color w:val="000000"/>
                <w:sz w:val="20"/>
                <w:szCs w:val="20"/>
                <w:lang w:eastAsia="en-GB"/>
              </w:rPr>
              <w:t>SSA heating project</w:t>
            </w:r>
          </w:p>
        </w:tc>
        <w:tc>
          <w:tcPr>
            <w:tcW w:w="1277" w:type="dxa"/>
            <w:noWrap/>
            <w:hideMark/>
          </w:tcPr>
          <w:p w14:paraId="6F275271"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03/11/2015</w:t>
            </w:r>
          </w:p>
        </w:tc>
        <w:tc>
          <w:tcPr>
            <w:tcW w:w="919" w:type="dxa"/>
            <w:noWrap/>
            <w:hideMark/>
          </w:tcPr>
          <w:p w14:paraId="5292AC37" w14:textId="77777777" w:rsidR="00BD1874" w:rsidRPr="00BD1874" w:rsidRDefault="00BD1874" w:rsidP="00BD18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pipeline</w:t>
            </w:r>
          </w:p>
        </w:tc>
        <w:tc>
          <w:tcPr>
            <w:tcW w:w="1271" w:type="dxa"/>
            <w:noWrap/>
            <w:hideMark/>
          </w:tcPr>
          <w:p w14:paraId="5FE59ADC" w14:textId="13B8BD4E" w:rsidR="00BD1874" w:rsidRPr="00BD1874" w:rsidRDefault="00BD1874" w:rsidP="00AE5F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£211,454</w:t>
            </w:r>
          </w:p>
        </w:tc>
        <w:tc>
          <w:tcPr>
            <w:tcW w:w="1060" w:type="dxa"/>
            <w:noWrap/>
            <w:hideMark/>
          </w:tcPr>
          <w:p w14:paraId="0672E4CF" w14:textId="4CF40DD1" w:rsidR="00BD1874" w:rsidRPr="00BD1874" w:rsidRDefault="00BD1874" w:rsidP="00AE5F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£29,744</w:t>
            </w:r>
          </w:p>
        </w:tc>
        <w:tc>
          <w:tcPr>
            <w:tcW w:w="1060" w:type="dxa"/>
            <w:noWrap/>
            <w:hideMark/>
          </w:tcPr>
          <w:p w14:paraId="00C0887C"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107.4</w:t>
            </w:r>
          </w:p>
        </w:tc>
        <w:tc>
          <w:tcPr>
            <w:tcW w:w="952" w:type="dxa"/>
            <w:noWrap/>
            <w:hideMark/>
          </w:tcPr>
          <w:p w14:paraId="7540A1C2"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7.1</w:t>
            </w:r>
          </w:p>
        </w:tc>
      </w:tr>
      <w:tr w:rsidR="00AE5F7A" w:rsidRPr="00BD1874" w14:paraId="02252F47" w14:textId="77777777" w:rsidTr="00AE5F7A">
        <w:trPr>
          <w:trHeight w:val="300"/>
        </w:trPr>
        <w:tc>
          <w:tcPr>
            <w:cnfStyle w:val="001000000000" w:firstRow="0" w:lastRow="0" w:firstColumn="1" w:lastColumn="0" w:oddVBand="0" w:evenVBand="0" w:oddHBand="0" w:evenHBand="0" w:firstRowFirstColumn="0" w:firstRowLastColumn="0" w:lastRowFirstColumn="0" w:lastRowLastColumn="0"/>
            <w:tcW w:w="2477" w:type="dxa"/>
            <w:noWrap/>
            <w:hideMark/>
          </w:tcPr>
          <w:p w14:paraId="1DBCA33E" w14:textId="77777777" w:rsidR="00BD1874" w:rsidRPr="00BD1874" w:rsidRDefault="00BD1874" w:rsidP="00BD1874">
            <w:pPr>
              <w:rPr>
                <w:rFonts w:ascii="Calibri" w:eastAsia="Times New Roman" w:hAnsi="Calibri" w:cs="Times New Roman"/>
                <w:b w:val="0"/>
                <w:color w:val="000000"/>
                <w:sz w:val="20"/>
                <w:szCs w:val="20"/>
                <w:lang w:eastAsia="en-GB"/>
              </w:rPr>
            </w:pPr>
            <w:r w:rsidRPr="00BD1874">
              <w:rPr>
                <w:rFonts w:ascii="Calibri" w:eastAsia="Times New Roman" w:hAnsi="Calibri" w:cs="Times New Roman"/>
                <w:b w:val="0"/>
                <w:color w:val="000000"/>
                <w:sz w:val="20"/>
                <w:szCs w:val="20"/>
                <w:lang w:eastAsia="en-GB"/>
              </w:rPr>
              <w:t>GDSA heating project</w:t>
            </w:r>
          </w:p>
        </w:tc>
        <w:tc>
          <w:tcPr>
            <w:tcW w:w="1277" w:type="dxa"/>
            <w:noWrap/>
            <w:hideMark/>
          </w:tcPr>
          <w:p w14:paraId="68CF323A"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03/11/2015</w:t>
            </w:r>
          </w:p>
        </w:tc>
        <w:tc>
          <w:tcPr>
            <w:tcW w:w="919" w:type="dxa"/>
            <w:noWrap/>
            <w:hideMark/>
          </w:tcPr>
          <w:p w14:paraId="6FC6B774" w14:textId="77777777" w:rsidR="00BD1874" w:rsidRPr="00BD1874" w:rsidRDefault="00BD1874" w:rsidP="00BD18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pipeline</w:t>
            </w:r>
          </w:p>
        </w:tc>
        <w:tc>
          <w:tcPr>
            <w:tcW w:w="1271" w:type="dxa"/>
            <w:noWrap/>
            <w:hideMark/>
          </w:tcPr>
          <w:p w14:paraId="3578DBEC" w14:textId="21384820" w:rsidR="00BD1874" w:rsidRPr="00BD1874" w:rsidRDefault="00BD1874" w:rsidP="00AE5F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£473,756</w:t>
            </w:r>
          </w:p>
        </w:tc>
        <w:tc>
          <w:tcPr>
            <w:tcW w:w="1060" w:type="dxa"/>
            <w:noWrap/>
            <w:hideMark/>
          </w:tcPr>
          <w:p w14:paraId="7899AD18" w14:textId="4BFD98E6" w:rsidR="00BD1874" w:rsidRPr="00BD1874" w:rsidRDefault="00BD1874" w:rsidP="00AE5F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£98,383</w:t>
            </w:r>
          </w:p>
        </w:tc>
        <w:tc>
          <w:tcPr>
            <w:tcW w:w="1060" w:type="dxa"/>
            <w:noWrap/>
            <w:hideMark/>
          </w:tcPr>
          <w:p w14:paraId="3A92730C"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355.1</w:t>
            </w:r>
          </w:p>
        </w:tc>
        <w:tc>
          <w:tcPr>
            <w:tcW w:w="952" w:type="dxa"/>
            <w:noWrap/>
            <w:hideMark/>
          </w:tcPr>
          <w:p w14:paraId="1F545A9E"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4.8</w:t>
            </w:r>
          </w:p>
        </w:tc>
      </w:tr>
      <w:tr w:rsidR="00AE5F7A" w:rsidRPr="00BD1874" w14:paraId="2353151B" w14:textId="77777777" w:rsidTr="00AE5F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77" w:type="dxa"/>
            <w:noWrap/>
            <w:hideMark/>
          </w:tcPr>
          <w:p w14:paraId="67935C08" w14:textId="77777777" w:rsidR="00BD1874" w:rsidRPr="00BD1874" w:rsidRDefault="00BD1874" w:rsidP="00BD1874">
            <w:pPr>
              <w:rPr>
                <w:rFonts w:ascii="Calibri" w:eastAsia="Times New Roman" w:hAnsi="Calibri" w:cs="Times New Roman"/>
                <w:b w:val="0"/>
                <w:color w:val="000000"/>
                <w:sz w:val="20"/>
                <w:szCs w:val="20"/>
                <w:lang w:eastAsia="en-GB"/>
              </w:rPr>
            </w:pPr>
            <w:r w:rsidRPr="00BD1874">
              <w:rPr>
                <w:rFonts w:ascii="Calibri" w:eastAsia="Times New Roman" w:hAnsi="Calibri" w:cs="Times New Roman"/>
                <w:b w:val="0"/>
                <w:color w:val="000000"/>
                <w:sz w:val="20"/>
                <w:szCs w:val="20"/>
                <w:lang w:eastAsia="en-GB"/>
              </w:rPr>
              <w:t>GDSA lighting project</w:t>
            </w:r>
          </w:p>
        </w:tc>
        <w:tc>
          <w:tcPr>
            <w:tcW w:w="1277" w:type="dxa"/>
            <w:noWrap/>
            <w:hideMark/>
          </w:tcPr>
          <w:p w14:paraId="1B3E8351"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03/11/2015</w:t>
            </w:r>
          </w:p>
        </w:tc>
        <w:tc>
          <w:tcPr>
            <w:tcW w:w="919" w:type="dxa"/>
            <w:noWrap/>
            <w:hideMark/>
          </w:tcPr>
          <w:p w14:paraId="48406DD4" w14:textId="77777777" w:rsidR="00BD1874" w:rsidRPr="00BD1874" w:rsidRDefault="00BD1874" w:rsidP="00BD18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pipeline</w:t>
            </w:r>
          </w:p>
        </w:tc>
        <w:tc>
          <w:tcPr>
            <w:tcW w:w="1271" w:type="dxa"/>
            <w:noWrap/>
            <w:hideMark/>
          </w:tcPr>
          <w:p w14:paraId="6AC228B8" w14:textId="7B1C92D3" w:rsidR="00BD1874" w:rsidRPr="00BD1874" w:rsidRDefault="00BD1874" w:rsidP="00AE5F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£218,148</w:t>
            </w:r>
          </w:p>
        </w:tc>
        <w:tc>
          <w:tcPr>
            <w:tcW w:w="1060" w:type="dxa"/>
            <w:noWrap/>
            <w:hideMark/>
          </w:tcPr>
          <w:p w14:paraId="35A0F85B" w14:textId="17E5F3C0" w:rsidR="00BD1874" w:rsidRPr="00BD1874" w:rsidRDefault="00BD1874" w:rsidP="00AE5F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£16,708</w:t>
            </w:r>
          </w:p>
        </w:tc>
        <w:tc>
          <w:tcPr>
            <w:tcW w:w="1060" w:type="dxa"/>
            <w:noWrap/>
            <w:hideMark/>
          </w:tcPr>
          <w:p w14:paraId="7B6488E8"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60.3</w:t>
            </w:r>
          </w:p>
        </w:tc>
        <w:tc>
          <w:tcPr>
            <w:tcW w:w="952" w:type="dxa"/>
            <w:noWrap/>
            <w:hideMark/>
          </w:tcPr>
          <w:p w14:paraId="5AE521EB"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13.1</w:t>
            </w:r>
          </w:p>
        </w:tc>
      </w:tr>
      <w:tr w:rsidR="00AE5F7A" w:rsidRPr="00BD1874" w14:paraId="756FB9A7" w14:textId="77777777" w:rsidTr="00AE5F7A">
        <w:trPr>
          <w:trHeight w:val="300"/>
        </w:trPr>
        <w:tc>
          <w:tcPr>
            <w:cnfStyle w:val="001000000000" w:firstRow="0" w:lastRow="0" w:firstColumn="1" w:lastColumn="0" w:oddVBand="0" w:evenVBand="0" w:oddHBand="0" w:evenHBand="0" w:firstRowFirstColumn="0" w:firstRowLastColumn="0" w:lastRowFirstColumn="0" w:lastRowLastColumn="0"/>
            <w:tcW w:w="2477" w:type="dxa"/>
            <w:noWrap/>
            <w:hideMark/>
          </w:tcPr>
          <w:p w14:paraId="455D7364" w14:textId="77777777" w:rsidR="00BD1874" w:rsidRPr="00BD1874" w:rsidRDefault="00BD1874" w:rsidP="00BD1874">
            <w:pPr>
              <w:rPr>
                <w:rFonts w:ascii="Calibri" w:eastAsia="Times New Roman" w:hAnsi="Calibri" w:cs="Times New Roman"/>
                <w:b w:val="0"/>
                <w:color w:val="000000"/>
                <w:sz w:val="20"/>
                <w:szCs w:val="20"/>
                <w:lang w:eastAsia="en-GB"/>
              </w:rPr>
            </w:pPr>
            <w:r w:rsidRPr="00BD1874">
              <w:rPr>
                <w:rFonts w:ascii="Calibri" w:eastAsia="Times New Roman" w:hAnsi="Calibri" w:cs="Times New Roman"/>
                <w:b w:val="0"/>
                <w:color w:val="000000"/>
                <w:sz w:val="20"/>
                <w:szCs w:val="20"/>
                <w:lang w:eastAsia="en-GB"/>
              </w:rPr>
              <w:t>SSA lighting project</w:t>
            </w:r>
          </w:p>
        </w:tc>
        <w:tc>
          <w:tcPr>
            <w:tcW w:w="1277" w:type="dxa"/>
            <w:noWrap/>
            <w:hideMark/>
          </w:tcPr>
          <w:p w14:paraId="2D20A137"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26/08/2015</w:t>
            </w:r>
          </w:p>
        </w:tc>
        <w:tc>
          <w:tcPr>
            <w:tcW w:w="919" w:type="dxa"/>
            <w:noWrap/>
            <w:hideMark/>
          </w:tcPr>
          <w:p w14:paraId="57D5854F" w14:textId="77777777" w:rsidR="00BD1874" w:rsidRPr="00BD1874" w:rsidRDefault="00BD1874" w:rsidP="00BD18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pipeline</w:t>
            </w:r>
          </w:p>
        </w:tc>
        <w:tc>
          <w:tcPr>
            <w:tcW w:w="1271" w:type="dxa"/>
            <w:noWrap/>
            <w:hideMark/>
          </w:tcPr>
          <w:p w14:paraId="356808BB" w14:textId="7BB10529" w:rsidR="00BD1874" w:rsidRPr="00BD1874" w:rsidRDefault="00BD1874" w:rsidP="00AE5F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£125,281</w:t>
            </w:r>
          </w:p>
        </w:tc>
        <w:tc>
          <w:tcPr>
            <w:tcW w:w="1060" w:type="dxa"/>
            <w:noWrap/>
            <w:hideMark/>
          </w:tcPr>
          <w:p w14:paraId="7323D063" w14:textId="0F598B42" w:rsidR="00BD1874" w:rsidRPr="00BD1874" w:rsidRDefault="00BD1874" w:rsidP="00AE5F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£13,035</w:t>
            </w:r>
          </w:p>
        </w:tc>
        <w:tc>
          <w:tcPr>
            <w:tcW w:w="1060" w:type="dxa"/>
            <w:noWrap/>
            <w:hideMark/>
          </w:tcPr>
          <w:p w14:paraId="3FFE59BB"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47.1</w:t>
            </w:r>
          </w:p>
        </w:tc>
        <w:tc>
          <w:tcPr>
            <w:tcW w:w="952" w:type="dxa"/>
            <w:noWrap/>
            <w:hideMark/>
          </w:tcPr>
          <w:p w14:paraId="1BC526D7"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9.6</w:t>
            </w:r>
          </w:p>
        </w:tc>
      </w:tr>
      <w:tr w:rsidR="00AE5F7A" w:rsidRPr="00BD1874" w14:paraId="3122D916" w14:textId="77777777" w:rsidTr="00AE5F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77" w:type="dxa"/>
            <w:noWrap/>
            <w:hideMark/>
          </w:tcPr>
          <w:p w14:paraId="5A323AAC" w14:textId="77777777" w:rsidR="00BD1874" w:rsidRPr="00BD1874" w:rsidRDefault="00BD1874" w:rsidP="00BD1874">
            <w:pPr>
              <w:rPr>
                <w:rFonts w:ascii="Calibri" w:eastAsia="Times New Roman" w:hAnsi="Calibri" w:cs="Times New Roman"/>
                <w:b w:val="0"/>
                <w:color w:val="000000"/>
                <w:sz w:val="20"/>
                <w:szCs w:val="20"/>
                <w:lang w:eastAsia="en-GB"/>
              </w:rPr>
            </w:pPr>
            <w:r w:rsidRPr="00BD1874">
              <w:rPr>
                <w:rFonts w:ascii="Calibri" w:eastAsia="Times New Roman" w:hAnsi="Calibri" w:cs="Times New Roman"/>
                <w:b w:val="0"/>
                <w:color w:val="000000"/>
                <w:sz w:val="20"/>
                <w:szCs w:val="20"/>
                <w:lang w:eastAsia="en-GB"/>
              </w:rPr>
              <w:t>Hodgkin BSU lighting</w:t>
            </w:r>
          </w:p>
        </w:tc>
        <w:tc>
          <w:tcPr>
            <w:tcW w:w="1277" w:type="dxa"/>
            <w:noWrap/>
            <w:hideMark/>
          </w:tcPr>
          <w:p w14:paraId="5401ADD4"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28/09/2015</w:t>
            </w:r>
          </w:p>
        </w:tc>
        <w:tc>
          <w:tcPr>
            <w:tcW w:w="919" w:type="dxa"/>
            <w:noWrap/>
            <w:hideMark/>
          </w:tcPr>
          <w:p w14:paraId="5F767395" w14:textId="77777777" w:rsidR="00BD1874" w:rsidRPr="00BD1874" w:rsidRDefault="00BD1874" w:rsidP="00BD18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RGF4</w:t>
            </w:r>
          </w:p>
        </w:tc>
        <w:tc>
          <w:tcPr>
            <w:tcW w:w="1271" w:type="dxa"/>
            <w:noWrap/>
            <w:hideMark/>
          </w:tcPr>
          <w:p w14:paraId="5E3D059A" w14:textId="466B2266" w:rsidR="00BD1874" w:rsidRPr="00BD1874" w:rsidRDefault="00BD1874" w:rsidP="00AE5F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w:t>
            </w:r>
            <w:r w:rsidR="00AE5F7A" w:rsidRPr="00AE5F7A">
              <w:rPr>
                <w:rFonts w:ascii="Calibri" w:eastAsia="Times New Roman" w:hAnsi="Calibri" w:cs="Times New Roman"/>
                <w:color w:val="000000"/>
                <w:sz w:val="20"/>
                <w:szCs w:val="20"/>
                <w:lang w:eastAsia="en-GB"/>
              </w:rPr>
              <w:t>16,451</w:t>
            </w:r>
          </w:p>
        </w:tc>
        <w:tc>
          <w:tcPr>
            <w:tcW w:w="1060" w:type="dxa"/>
            <w:noWrap/>
            <w:hideMark/>
          </w:tcPr>
          <w:p w14:paraId="660CC30E" w14:textId="14FC212D" w:rsidR="00BD1874" w:rsidRPr="00BD1874" w:rsidRDefault="00BD1874" w:rsidP="00AE5F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w:t>
            </w:r>
            <w:r w:rsidR="00AE5F7A" w:rsidRPr="00AE5F7A">
              <w:rPr>
                <w:rFonts w:ascii="Calibri" w:eastAsia="Times New Roman" w:hAnsi="Calibri" w:cs="Times New Roman"/>
                <w:color w:val="000000"/>
                <w:sz w:val="20"/>
                <w:szCs w:val="20"/>
                <w:lang w:eastAsia="en-GB"/>
              </w:rPr>
              <w:t>5,266</w:t>
            </w:r>
          </w:p>
        </w:tc>
        <w:tc>
          <w:tcPr>
            <w:tcW w:w="1060" w:type="dxa"/>
            <w:noWrap/>
            <w:hideMark/>
          </w:tcPr>
          <w:p w14:paraId="12A3CF53"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19.0</w:t>
            </w:r>
          </w:p>
        </w:tc>
        <w:tc>
          <w:tcPr>
            <w:tcW w:w="952" w:type="dxa"/>
            <w:noWrap/>
            <w:hideMark/>
          </w:tcPr>
          <w:p w14:paraId="31555176"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3.1</w:t>
            </w:r>
          </w:p>
        </w:tc>
      </w:tr>
      <w:tr w:rsidR="00AE5F7A" w:rsidRPr="00BD1874" w14:paraId="50A8FC5B" w14:textId="77777777" w:rsidTr="00AE5F7A">
        <w:trPr>
          <w:trHeight w:val="300"/>
        </w:trPr>
        <w:tc>
          <w:tcPr>
            <w:cnfStyle w:val="001000000000" w:firstRow="0" w:lastRow="0" w:firstColumn="1" w:lastColumn="0" w:oddVBand="0" w:evenVBand="0" w:oddHBand="0" w:evenHBand="0" w:firstRowFirstColumn="0" w:firstRowLastColumn="0" w:lastRowFirstColumn="0" w:lastRowLastColumn="0"/>
            <w:tcW w:w="2477" w:type="dxa"/>
            <w:noWrap/>
            <w:hideMark/>
          </w:tcPr>
          <w:p w14:paraId="20EEE3D5" w14:textId="77777777" w:rsidR="00BD1874" w:rsidRPr="00BD1874" w:rsidRDefault="00BD1874" w:rsidP="00BD1874">
            <w:pPr>
              <w:rPr>
                <w:rFonts w:ascii="Calibri" w:eastAsia="Times New Roman" w:hAnsi="Calibri" w:cs="Times New Roman"/>
                <w:b w:val="0"/>
                <w:color w:val="000000"/>
                <w:sz w:val="20"/>
                <w:szCs w:val="20"/>
                <w:lang w:eastAsia="en-GB"/>
              </w:rPr>
            </w:pPr>
            <w:r w:rsidRPr="00BD1874">
              <w:rPr>
                <w:rFonts w:ascii="Calibri" w:eastAsia="Times New Roman" w:hAnsi="Calibri" w:cs="Times New Roman"/>
                <w:b w:val="0"/>
                <w:color w:val="000000"/>
                <w:sz w:val="20"/>
                <w:szCs w:val="20"/>
                <w:lang w:eastAsia="en-GB"/>
              </w:rPr>
              <w:t>JCMB lighting replacement</w:t>
            </w:r>
          </w:p>
        </w:tc>
        <w:tc>
          <w:tcPr>
            <w:tcW w:w="1277" w:type="dxa"/>
            <w:noWrap/>
            <w:hideMark/>
          </w:tcPr>
          <w:p w14:paraId="07A716C2"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27/10/2015</w:t>
            </w:r>
          </w:p>
        </w:tc>
        <w:tc>
          <w:tcPr>
            <w:tcW w:w="919" w:type="dxa"/>
            <w:noWrap/>
            <w:hideMark/>
          </w:tcPr>
          <w:p w14:paraId="3020C2AE" w14:textId="77777777" w:rsidR="00BD1874" w:rsidRPr="00BD1874" w:rsidRDefault="00BD1874" w:rsidP="00BD18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RGF4</w:t>
            </w:r>
          </w:p>
        </w:tc>
        <w:tc>
          <w:tcPr>
            <w:tcW w:w="1271" w:type="dxa"/>
            <w:noWrap/>
            <w:hideMark/>
          </w:tcPr>
          <w:p w14:paraId="73D95B82" w14:textId="5FCA83CC" w:rsidR="00BD1874" w:rsidRPr="00BD1874" w:rsidRDefault="00BD1874" w:rsidP="00AE5F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£47,000</w:t>
            </w:r>
          </w:p>
        </w:tc>
        <w:tc>
          <w:tcPr>
            <w:tcW w:w="1060" w:type="dxa"/>
            <w:noWrap/>
            <w:hideMark/>
          </w:tcPr>
          <w:p w14:paraId="7498834F" w14:textId="66B22578" w:rsidR="00BD1874" w:rsidRPr="00BD1874" w:rsidRDefault="00BD1874" w:rsidP="00AE5F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£9,628</w:t>
            </w:r>
          </w:p>
        </w:tc>
        <w:tc>
          <w:tcPr>
            <w:tcW w:w="1060" w:type="dxa"/>
            <w:noWrap/>
            <w:hideMark/>
          </w:tcPr>
          <w:p w14:paraId="19F25BEC"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34.8</w:t>
            </w:r>
          </w:p>
        </w:tc>
        <w:tc>
          <w:tcPr>
            <w:tcW w:w="952" w:type="dxa"/>
            <w:noWrap/>
            <w:hideMark/>
          </w:tcPr>
          <w:p w14:paraId="01BD27B5"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4.9</w:t>
            </w:r>
          </w:p>
        </w:tc>
      </w:tr>
      <w:tr w:rsidR="00AE5F7A" w:rsidRPr="00BD1874" w14:paraId="3FC1425F" w14:textId="77777777" w:rsidTr="00AE5F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77" w:type="dxa"/>
            <w:noWrap/>
            <w:hideMark/>
          </w:tcPr>
          <w:p w14:paraId="7DE61256" w14:textId="77777777" w:rsidR="00BD1874" w:rsidRPr="00BD1874" w:rsidRDefault="00BD1874" w:rsidP="00BD1874">
            <w:pPr>
              <w:rPr>
                <w:rFonts w:ascii="Calibri" w:eastAsia="Times New Roman" w:hAnsi="Calibri" w:cs="Times New Roman"/>
                <w:b w:val="0"/>
                <w:color w:val="000000"/>
                <w:sz w:val="20"/>
                <w:szCs w:val="20"/>
                <w:lang w:eastAsia="en-GB"/>
              </w:rPr>
            </w:pPr>
            <w:r w:rsidRPr="00BD1874">
              <w:rPr>
                <w:rFonts w:ascii="Calibri" w:eastAsia="Times New Roman" w:hAnsi="Calibri" w:cs="Times New Roman"/>
                <w:b w:val="0"/>
                <w:color w:val="000000"/>
                <w:sz w:val="20"/>
                <w:szCs w:val="20"/>
                <w:lang w:eastAsia="en-GB"/>
              </w:rPr>
              <w:t>waterless condenser</w:t>
            </w:r>
          </w:p>
        </w:tc>
        <w:tc>
          <w:tcPr>
            <w:tcW w:w="1277" w:type="dxa"/>
            <w:noWrap/>
            <w:hideMark/>
          </w:tcPr>
          <w:p w14:paraId="7E5A77EE"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16/11/2015</w:t>
            </w:r>
          </w:p>
        </w:tc>
        <w:tc>
          <w:tcPr>
            <w:tcW w:w="919" w:type="dxa"/>
            <w:noWrap/>
            <w:hideMark/>
          </w:tcPr>
          <w:p w14:paraId="6FB7EE0D" w14:textId="77777777" w:rsidR="00BD1874" w:rsidRPr="00BD1874" w:rsidRDefault="00BD1874" w:rsidP="00BD18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ongoing</w:t>
            </w:r>
          </w:p>
        </w:tc>
        <w:tc>
          <w:tcPr>
            <w:tcW w:w="1271" w:type="dxa"/>
            <w:noWrap/>
            <w:hideMark/>
          </w:tcPr>
          <w:p w14:paraId="7E346E04" w14:textId="3C661E53" w:rsidR="00BD1874" w:rsidRPr="00BD1874" w:rsidRDefault="00BD1874" w:rsidP="00AE5F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w:t>
            </w:r>
            <w:r w:rsidR="00AE5F7A" w:rsidRPr="00AE5F7A">
              <w:rPr>
                <w:rFonts w:ascii="Calibri" w:eastAsia="Times New Roman" w:hAnsi="Calibri" w:cs="Times New Roman"/>
                <w:color w:val="000000"/>
                <w:sz w:val="20"/>
                <w:szCs w:val="20"/>
                <w:lang w:eastAsia="en-GB"/>
              </w:rPr>
              <w:t>4,000</w:t>
            </w:r>
          </w:p>
        </w:tc>
        <w:tc>
          <w:tcPr>
            <w:tcW w:w="1060" w:type="dxa"/>
            <w:noWrap/>
            <w:hideMark/>
          </w:tcPr>
          <w:p w14:paraId="3C6D950D" w14:textId="4584ED97" w:rsidR="00BD1874" w:rsidRPr="00BD1874" w:rsidRDefault="00BD1874" w:rsidP="00AE5F7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£1,600</w:t>
            </w:r>
          </w:p>
        </w:tc>
        <w:tc>
          <w:tcPr>
            <w:tcW w:w="1060" w:type="dxa"/>
            <w:noWrap/>
            <w:hideMark/>
          </w:tcPr>
          <w:p w14:paraId="52FBE877"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0.0</w:t>
            </w:r>
          </w:p>
        </w:tc>
        <w:tc>
          <w:tcPr>
            <w:tcW w:w="952" w:type="dxa"/>
            <w:noWrap/>
            <w:hideMark/>
          </w:tcPr>
          <w:p w14:paraId="251207C8" w14:textId="77777777" w:rsidR="00BD1874" w:rsidRPr="00BD1874" w:rsidRDefault="00BD1874" w:rsidP="00BD18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2.5</w:t>
            </w:r>
          </w:p>
        </w:tc>
      </w:tr>
      <w:tr w:rsidR="00AE5F7A" w:rsidRPr="00BD1874" w14:paraId="5CED9AD9" w14:textId="77777777" w:rsidTr="00AE5F7A">
        <w:trPr>
          <w:trHeight w:val="300"/>
        </w:trPr>
        <w:tc>
          <w:tcPr>
            <w:cnfStyle w:val="001000000000" w:firstRow="0" w:lastRow="0" w:firstColumn="1" w:lastColumn="0" w:oddVBand="0" w:evenVBand="0" w:oddHBand="0" w:evenHBand="0" w:firstRowFirstColumn="0" w:firstRowLastColumn="0" w:lastRowFirstColumn="0" w:lastRowLastColumn="0"/>
            <w:tcW w:w="2477" w:type="dxa"/>
            <w:noWrap/>
            <w:hideMark/>
          </w:tcPr>
          <w:p w14:paraId="741C119F" w14:textId="1B98FC7D" w:rsidR="00BD1874" w:rsidRPr="00BD1874" w:rsidRDefault="00AE5F7A" w:rsidP="00BD1874">
            <w:pPr>
              <w:rPr>
                <w:rFonts w:ascii="Calibri" w:eastAsia="Times New Roman" w:hAnsi="Calibri" w:cs="Times New Roman"/>
                <w:b w:val="0"/>
                <w:color w:val="000000"/>
                <w:sz w:val="20"/>
                <w:szCs w:val="20"/>
                <w:lang w:eastAsia="en-GB"/>
              </w:rPr>
            </w:pPr>
            <w:proofErr w:type="spellStart"/>
            <w:r>
              <w:rPr>
                <w:rFonts w:ascii="Calibri" w:eastAsia="Times New Roman" w:hAnsi="Calibri" w:cs="Times New Roman"/>
                <w:b w:val="0"/>
                <w:color w:val="000000"/>
                <w:sz w:val="20"/>
                <w:szCs w:val="20"/>
                <w:lang w:eastAsia="en-GB"/>
              </w:rPr>
              <w:t>C</w:t>
            </w:r>
            <w:r w:rsidR="00BD1874" w:rsidRPr="00BD1874">
              <w:rPr>
                <w:rFonts w:ascii="Calibri" w:eastAsia="Times New Roman" w:hAnsi="Calibri" w:cs="Times New Roman"/>
                <w:b w:val="0"/>
                <w:color w:val="000000"/>
                <w:sz w:val="20"/>
                <w:szCs w:val="20"/>
                <w:lang w:eastAsia="en-GB"/>
              </w:rPr>
              <w:t>alorifier</w:t>
            </w:r>
            <w:proofErr w:type="spellEnd"/>
            <w:r w:rsidR="00BD1874" w:rsidRPr="00BD1874">
              <w:rPr>
                <w:rFonts w:ascii="Calibri" w:eastAsia="Times New Roman" w:hAnsi="Calibri" w:cs="Times New Roman"/>
                <w:b w:val="0"/>
                <w:color w:val="000000"/>
                <w:sz w:val="20"/>
                <w:szCs w:val="20"/>
                <w:lang w:eastAsia="en-GB"/>
              </w:rPr>
              <w:t xml:space="preserve"> changes in SSA</w:t>
            </w:r>
          </w:p>
        </w:tc>
        <w:tc>
          <w:tcPr>
            <w:tcW w:w="1277" w:type="dxa"/>
            <w:noWrap/>
            <w:hideMark/>
          </w:tcPr>
          <w:p w14:paraId="73DCFC2A"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18/11/2015</w:t>
            </w:r>
          </w:p>
        </w:tc>
        <w:tc>
          <w:tcPr>
            <w:tcW w:w="919" w:type="dxa"/>
            <w:noWrap/>
            <w:hideMark/>
          </w:tcPr>
          <w:p w14:paraId="7FC2DDC0" w14:textId="77777777" w:rsidR="00BD1874" w:rsidRPr="00BD1874" w:rsidRDefault="00BD1874" w:rsidP="00BD18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pipeline</w:t>
            </w:r>
          </w:p>
        </w:tc>
        <w:tc>
          <w:tcPr>
            <w:tcW w:w="1271" w:type="dxa"/>
            <w:noWrap/>
            <w:hideMark/>
          </w:tcPr>
          <w:p w14:paraId="71C210BF" w14:textId="384493F8" w:rsidR="00BD1874" w:rsidRPr="00BD1874" w:rsidRDefault="00BD1874" w:rsidP="00AE5F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£380,155</w:t>
            </w:r>
          </w:p>
        </w:tc>
        <w:tc>
          <w:tcPr>
            <w:tcW w:w="1060" w:type="dxa"/>
            <w:noWrap/>
            <w:hideMark/>
          </w:tcPr>
          <w:p w14:paraId="3D097549" w14:textId="5FBCC27C" w:rsidR="00BD1874" w:rsidRPr="00BD1874" w:rsidRDefault="00BD1874" w:rsidP="00AE5F7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£90,936</w:t>
            </w:r>
          </w:p>
        </w:tc>
        <w:tc>
          <w:tcPr>
            <w:tcW w:w="1060" w:type="dxa"/>
            <w:noWrap/>
            <w:hideMark/>
          </w:tcPr>
          <w:p w14:paraId="2EE53BC6"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328.3</w:t>
            </w:r>
          </w:p>
        </w:tc>
        <w:tc>
          <w:tcPr>
            <w:tcW w:w="952" w:type="dxa"/>
            <w:noWrap/>
            <w:hideMark/>
          </w:tcPr>
          <w:p w14:paraId="2B32F4FF" w14:textId="77777777" w:rsidR="00BD1874" w:rsidRPr="00BD1874" w:rsidRDefault="00BD1874" w:rsidP="00BD187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BD1874">
              <w:rPr>
                <w:rFonts w:ascii="Calibri" w:eastAsia="Times New Roman" w:hAnsi="Calibri" w:cs="Times New Roman"/>
                <w:color w:val="000000"/>
                <w:sz w:val="20"/>
                <w:szCs w:val="20"/>
                <w:lang w:eastAsia="en-GB"/>
              </w:rPr>
              <w:t>4.2</w:t>
            </w:r>
          </w:p>
        </w:tc>
      </w:tr>
      <w:tr w:rsidR="00866FC6" w:rsidRPr="00866FC6" w14:paraId="5CA8AFA9" w14:textId="77777777" w:rsidTr="00866F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77" w:type="dxa"/>
            <w:shd w:val="clear" w:color="auto" w:fill="365F91" w:themeFill="accent1" w:themeFillShade="BF"/>
            <w:noWrap/>
            <w:hideMark/>
          </w:tcPr>
          <w:p w14:paraId="34133D14" w14:textId="2FFEC90C" w:rsidR="00866FC6" w:rsidRPr="00866FC6" w:rsidRDefault="00866FC6" w:rsidP="00866FC6">
            <w:pPr>
              <w:keepNext/>
              <w:keepLines/>
              <w:rPr>
                <w:rFonts w:ascii="Calibri" w:eastAsia="Times New Roman" w:hAnsi="Calibri" w:cs="Times New Roman"/>
                <w:color w:val="FFFFFF" w:themeColor="background1"/>
                <w:lang w:eastAsia="en-GB"/>
              </w:rPr>
            </w:pPr>
            <w:r>
              <w:rPr>
                <w:rFonts w:ascii="Calibri" w:eastAsia="Times New Roman" w:hAnsi="Calibri" w:cs="Times New Roman"/>
                <w:color w:val="FFFFFF" w:themeColor="background1"/>
                <w:lang w:eastAsia="en-GB"/>
              </w:rPr>
              <w:t>Total</w:t>
            </w:r>
          </w:p>
        </w:tc>
        <w:tc>
          <w:tcPr>
            <w:tcW w:w="1277" w:type="dxa"/>
            <w:shd w:val="clear" w:color="auto" w:fill="365F91" w:themeFill="accent1" w:themeFillShade="BF"/>
            <w:noWrap/>
            <w:hideMark/>
          </w:tcPr>
          <w:p w14:paraId="611B0374" w14:textId="5C739A6A" w:rsidR="00866FC6" w:rsidRPr="00866FC6" w:rsidRDefault="00866FC6" w:rsidP="00866FC6">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FFFF" w:themeColor="background1"/>
                <w:lang w:eastAsia="en-GB"/>
              </w:rPr>
            </w:pPr>
          </w:p>
        </w:tc>
        <w:tc>
          <w:tcPr>
            <w:tcW w:w="919" w:type="dxa"/>
            <w:shd w:val="clear" w:color="auto" w:fill="365F91" w:themeFill="accent1" w:themeFillShade="BF"/>
            <w:noWrap/>
            <w:hideMark/>
          </w:tcPr>
          <w:p w14:paraId="64605527" w14:textId="59F7B22B" w:rsidR="00866FC6" w:rsidRPr="00866FC6" w:rsidRDefault="00866FC6" w:rsidP="00866FC6">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FFFF" w:themeColor="background1"/>
                <w:lang w:eastAsia="en-GB"/>
              </w:rPr>
            </w:pPr>
          </w:p>
        </w:tc>
        <w:tc>
          <w:tcPr>
            <w:tcW w:w="1271" w:type="dxa"/>
            <w:shd w:val="clear" w:color="auto" w:fill="365F91" w:themeFill="accent1" w:themeFillShade="BF"/>
            <w:noWrap/>
            <w:hideMark/>
          </w:tcPr>
          <w:p w14:paraId="5EAF951A" w14:textId="34BB268C" w:rsidR="00866FC6" w:rsidRPr="00866FC6" w:rsidRDefault="00866FC6" w:rsidP="00866FC6">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lang w:eastAsia="en-GB"/>
              </w:rPr>
            </w:pPr>
            <w:r w:rsidRPr="00866FC6">
              <w:rPr>
                <w:rFonts w:ascii="Calibri" w:eastAsia="Times New Roman" w:hAnsi="Calibri" w:cs="Times New Roman"/>
                <w:b/>
                <w:color w:val="FFFFFF" w:themeColor="background1"/>
                <w:lang w:eastAsia="en-GB"/>
              </w:rPr>
              <w:t>£3,736,421</w:t>
            </w:r>
          </w:p>
        </w:tc>
        <w:tc>
          <w:tcPr>
            <w:tcW w:w="1060" w:type="dxa"/>
            <w:shd w:val="clear" w:color="auto" w:fill="365F91" w:themeFill="accent1" w:themeFillShade="BF"/>
            <w:noWrap/>
            <w:hideMark/>
          </w:tcPr>
          <w:p w14:paraId="10F801C8" w14:textId="6935EFB2" w:rsidR="00866FC6" w:rsidRPr="00866FC6" w:rsidRDefault="00866FC6" w:rsidP="00866FC6">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lang w:eastAsia="en-GB"/>
              </w:rPr>
            </w:pPr>
            <w:r w:rsidRPr="00866FC6">
              <w:rPr>
                <w:rFonts w:ascii="Calibri" w:eastAsia="Times New Roman" w:hAnsi="Calibri" w:cs="Times New Roman"/>
                <w:b/>
                <w:color w:val="FFFFFF" w:themeColor="background1"/>
                <w:lang w:eastAsia="en-GB"/>
              </w:rPr>
              <w:t>£848,035</w:t>
            </w:r>
          </w:p>
        </w:tc>
        <w:tc>
          <w:tcPr>
            <w:tcW w:w="1060" w:type="dxa"/>
            <w:shd w:val="clear" w:color="auto" w:fill="365F91" w:themeFill="accent1" w:themeFillShade="BF"/>
            <w:noWrap/>
            <w:hideMark/>
          </w:tcPr>
          <w:p w14:paraId="15690863" w14:textId="00EDD851" w:rsidR="00866FC6" w:rsidRPr="00866FC6" w:rsidRDefault="00866FC6" w:rsidP="00866FC6">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FFFFFF" w:themeColor="background1"/>
                <w:lang w:eastAsia="en-GB"/>
              </w:rPr>
            </w:pPr>
            <w:r w:rsidRPr="00866FC6">
              <w:rPr>
                <w:rFonts w:ascii="Calibri" w:eastAsia="Times New Roman" w:hAnsi="Calibri" w:cs="Times New Roman"/>
                <w:b/>
                <w:color w:val="FFFFFF" w:themeColor="background1"/>
                <w:lang w:eastAsia="en-GB"/>
              </w:rPr>
              <w:t>3,124</w:t>
            </w:r>
          </w:p>
        </w:tc>
        <w:tc>
          <w:tcPr>
            <w:tcW w:w="952" w:type="dxa"/>
            <w:shd w:val="clear" w:color="auto" w:fill="365F91" w:themeFill="accent1" w:themeFillShade="BF"/>
            <w:noWrap/>
          </w:tcPr>
          <w:p w14:paraId="79737050" w14:textId="3172BEA4" w:rsidR="00866FC6" w:rsidRPr="00866FC6" w:rsidRDefault="00866FC6" w:rsidP="00866FC6">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FFFFFF" w:themeColor="background1"/>
                <w:lang w:eastAsia="en-GB"/>
              </w:rPr>
            </w:pPr>
          </w:p>
        </w:tc>
      </w:tr>
    </w:tbl>
    <w:p w14:paraId="51306F02" w14:textId="77777777" w:rsidR="00BD1874" w:rsidRDefault="00BD1874" w:rsidP="0015153D"/>
    <w:p w14:paraId="2B02D38C" w14:textId="7322124E" w:rsidR="00F57916" w:rsidRDefault="00F57916">
      <w:r>
        <w:br w:type="page"/>
      </w:r>
    </w:p>
    <w:p w14:paraId="7D253B0F" w14:textId="0A8AA2FD" w:rsidR="00EF66A3" w:rsidRPr="00F57916" w:rsidRDefault="00F57916" w:rsidP="00F57916">
      <w:pPr>
        <w:pStyle w:val="Heading2"/>
        <w:rPr>
          <w:rFonts w:eastAsia="Gill Sans MT"/>
        </w:rPr>
      </w:pPr>
      <w:r>
        <w:lastRenderedPageBreak/>
        <w:t xml:space="preserve">Appendix C: </w:t>
      </w:r>
      <w:r>
        <w:rPr>
          <w:rFonts w:eastAsia="Gill Sans MT"/>
        </w:rPr>
        <w:t>KCL Sustainable Laboratories Case Study – Savawatt Installation</w:t>
      </w:r>
    </w:p>
    <w:p w14:paraId="585962B3" w14:textId="77777777" w:rsidR="00F57916" w:rsidRDefault="00F57916" w:rsidP="00F57916">
      <w:pPr>
        <w:rPr>
          <w:rFonts w:ascii="Gill Sans MT" w:eastAsia="Gill Sans MT" w:hAnsi="Gill Sans MT" w:cs="Gill Sans MT"/>
          <w:i/>
        </w:rPr>
      </w:pPr>
      <w:r>
        <w:rPr>
          <w:rFonts w:ascii="Gill Sans MT" w:eastAsia="Gill Sans MT" w:hAnsi="Gill Sans MT" w:cs="Gill Sans MT"/>
          <w:i/>
        </w:rPr>
        <w:t>Martin Farley, Sustainable Laboratories Project Coordinator, Oct. 2015</w:t>
      </w:r>
    </w:p>
    <w:p w14:paraId="782C6030" w14:textId="16AFC274" w:rsidR="00F57916" w:rsidRDefault="00F57916" w:rsidP="00F57916">
      <w:pPr>
        <w:rPr>
          <w:rFonts w:ascii="Gill Sans MT" w:eastAsia="Gill Sans MT" w:hAnsi="Gill Sans MT" w:cs="Gill Sans MT"/>
        </w:rPr>
      </w:pPr>
      <w:r>
        <w:rPr>
          <w:rFonts w:ascii="Calibri" w:eastAsia="Calibri" w:hAnsi="Calibri" w:cs="Calibri"/>
          <w:noProof/>
          <w:lang w:eastAsia="en-GB"/>
        </w:rPr>
        <w:drawing>
          <wp:anchor distT="0" distB="0" distL="114300" distR="114300" simplePos="0" relativeHeight="251668992" behindDoc="0" locked="0" layoutInCell="1" allowOverlap="1" wp14:anchorId="5A0D016D" wp14:editId="65693984">
            <wp:simplePos x="0" y="0"/>
            <wp:positionH relativeFrom="column">
              <wp:posOffset>-129540</wp:posOffset>
            </wp:positionH>
            <wp:positionV relativeFrom="paragraph">
              <wp:posOffset>1163955</wp:posOffset>
            </wp:positionV>
            <wp:extent cx="2933700" cy="22313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3700" cy="223139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eastAsia="Gill Sans MT" w:hAnsi="Gill Sans MT" w:cs="Gill Sans MT"/>
        </w:rPr>
        <w:t>Continuing on the commitment to reduce carbon dioxide emissions by 43% from 2005-06 levels by 2020, Kings College London has targeted its cold storage in research spaces as a method of achieving this goal. Research spaces can consume ~5 times more energy per square metre than academic spaces, and part of this is largely due to the substantial quantity of fridges and freezers that fill laboratories. Envision Concepts has developed a patented, Salix approved device called a Savacontrol which can match motor needs to energy output in any equipment with a compressor (</w:t>
      </w:r>
      <w:proofErr w:type="spellStart"/>
      <w:r>
        <w:rPr>
          <w:rFonts w:ascii="Gill Sans MT" w:eastAsia="Gill Sans MT" w:hAnsi="Gill Sans MT" w:cs="Gill Sans MT"/>
        </w:rPr>
        <w:t>ie</w:t>
      </w:r>
      <w:proofErr w:type="spellEnd"/>
      <w:r>
        <w:rPr>
          <w:rFonts w:ascii="Gill Sans MT" w:eastAsia="Gill Sans MT" w:hAnsi="Gill Sans MT" w:cs="Gill Sans MT"/>
        </w:rPr>
        <w:t xml:space="preserve"> fridges and freezers, though for this project we did not include ULT freezers), and in doing so achieve energy savings. They are easily installed at the plug-level and can endure for 10+ years. Previously Kings College London had already organised an installation of such devices where appropriate (buildings with higher voltages, above ~230 volts) with some success. Fridges with the devices attached showed ~14% reductions in energy consumption. This year the goal was to complete a wide-spread installation to target particularly areas in the Guys Hospital and Denmark Hill campus. </w:t>
      </w:r>
    </w:p>
    <w:p w14:paraId="5973189B" w14:textId="77777777" w:rsidR="00F57916" w:rsidRDefault="00F57916" w:rsidP="00F57916">
      <w:pPr>
        <w:ind w:firstLine="720"/>
        <w:rPr>
          <w:rFonts w:ascii="Gill Sans MT" w:eastAsia="Gill Sans MT" w:hAnsi="Gill Sans MT" w:cs="Gill Sans MT"/>
          <w:i/>
          <w:sz w:val="20"/>
        </w:rPr>
      </w:pPr>
      <w:r>
        <w:rPr>
          <w:rFonts w:ascii="Gill Sans MT" w:eastAsia="Gill Sans MT" w:hAnsi="Gill Sans MT" w:cs="Gill Sans MT"/>
          <w:i/>
          <w:sz w:val="20"/>
        </w:rPr>
        <w:t xml:space="preserve">     Savawatt Products Installed</w:t>
      </w:r>
    </w:p>
    <w:p w14:paraId="2F83E639" w14:textId="17907119" w:rsidR="00F57916" w:rsidRDefault="00F57916" w:rsidP="00F57916">
      <w:pPr>
        <w:rPr>
          <w:rFonts w:ascii="Gill Sans MT" w:eastAsia="Gill Sans MT" w:hAnsi="Gill Sans MT" w:cs="Gill Sans MT"/>
        </w:rPr>
      </w:pPr>
      <w:r>
        <w:rPr>
          <w:rFonts w:ascii="Gill Sans MT" w:eastAsia="Gill Sans MT" w:hAnsi="Gill Sans MT" w:cs="Gill Sans MT"/>
        </w:rPr>
        <w:t xml:space="preserve">The project was a success as a large installation tallying approximately £38,000 was organised and managed by the Sustainability department with an estimated 2.4 year payback period. 584 refrigerators, -20C° freezers, and walk-in cold rooms had devices fitted (mostly fridges and freezers) throughout research spaces, as well as one sports facility. To improve payback, areas with particularly high voltages were targeted (for e.g. some areas surveyed were found to be running at 246 volts!). The project was not without its barriers. Of particular difficulty was managing the installation during the opening of the new Wohl Institute as many of the fridges/freezers initially surveyed were moved to this new space. The Wohl Institute was not appropriate though for Savawatt installation as it did not have a voltage high enough to give a good payback. There were no reported break downs or equipment failures associated with the installation, although it did highlight issues with one cold-room these were pre-existing. To avoid researchers removing the devices, they were closely consulted about the installation. To avoid waste of a Savawatt device, they were fitted where possible with stickers with contact information to the sustainability department to ensure that if the fridge was replaced, a suitable replacement could be fitted. </w:t>
      </w:r>
    </w:p>
    <w:p w14:paraId="7223F278" w14:textId="5775393C" w:rsidR="00F57916" w:rsidRDefault="00F57916" w:rsidP="00F57916">
      <w:pPr>
        <w:rPr>
          <w:rFonts w:ascii="Gill Sans MT" w:eastAsia="Gill Sans MT" w:hAnsi="Gill Sans MT" w:cs="Gill Sans MT"/>
        </w:rPr>
      </w:pPr>
      <w:r>
        <w:rPr>
          <w:rFonts w:ascii="Gill Sans MT" w:eastAsia="Gill Sans MT" w:hAnsi="Gill Sans MT" w:cs="Gill Sans MT"/>
        </w:rPr>
        <w:t xml:space="preserve">Currently, this remains an easy and tested method to achieve energy savings in research and cooking spaces where fridges and freezers are common. With an estimated ~£15,000 saved annually in energy and a 10+ lifespan of Savawatt devices, we hope to incur significant energy savings. </w:t>
      </w:r>
    </w:p>
    <w:p w14:paraId="574351EA" w14:textId="77777777" w:rsidR="00F57916" w:rsidRPr="00F57916" w:rsidRDefault="00F57916" w:rsidP="00F57916"/>
    <w:sectPr w:rsidR="00F57916" w:rsidRPr="00F57916" w:rsidSect="009B64F0">
      <w:footerReference w:type="default" r:id="rId16"/>
      <w:pgSz w:w="11906" w:h="16838"/>
      <w:pgMar w:top="1440" w:right="1440" w:bottom="1440" w:left="1440" w:header="567" w:footer="68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B67D5" w14:textId="77777777" w:rsidR="00080706" w:rsidRDefault="00080706" w:rsidP="003B1DA1">
      <w:pPr>
        <w:spacing w:after="0" w:line="240" w:lineRule="auto"/>
      </w:pPr>
      <w:r>
        <w:separator/>
      </w:r>
    </w:p>
  </w:endnote>
  <w:endnote w:type="continuationSeparator" w:id="0">
    <w:p w14:paraId="4E59AA27" w14:textId="77777777" w:rsidR="00080706" w:rsidRDefault="00080706" w:rsidP="003B1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575739"/>
      <w:docPartObj>
        <w:docPartGallery w:val="Page Numbers (Bottom of Page)"/>
        <w:docPartUnique/>
      </w:docPartObj>
    </w:sdtPr>
    <w:sdtEndPr>
      <w:rPr>
        <w:noProof/>
      </w:rPr>
    </w:sdtEndPr>
    <w:sdtContent>
      <w:p w14:paraId="67B87904" w14:textId="5B043FB2" w:rsidR="00832F9E" w:rsidRDefault="00832F9E">
        <w:pPr>
          <w:pStyle w:val="Footer"/>
          <w:jc w:val="center"/>
        </w:pPr>
        <w:r>
          <w:fldChar w:fldCharType="begin"/>
        </w:r>
        <w:r>
          <w:instrText xml:space="preserve"> PAGE   \* MERGEFORMAT </w:instrText>
        </w:r>
        <w:r>
          <w:fldChar w:fldCharType="separate"/>
        </w:r>
        <w:r w:rsidR="00DE6CB5">
          <w:rPr>
            <w:noProof/>
          </w:rPr>
          <w:t>3</w:t>
        </w:r>
        <w:r>
          <w:rPr>
            <w:noProof/>
          </w:rPr>
          <w:fldChar w:fldCharType="end"/>
        </w:r>
      </w:p>
    </w:sdtContent>
  </w:sdt>
  <w:p w14:paraId="45FCC132" w14:textId="2606A36E" w:rsidR="00832F9E" w:rsidRDefault="00832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F81CF" w14:textId="77777777" w:rsidR="00080706" w:rsidRDefault="00080706" w:rsidP="003B1DA1">
      <w:pPr>
        <w:spacing w:after="0" w:line="240" w:lineRule="auto"/>
      </w:pPr>
      <w:r>
        <w:separator/>
      </w:r>
    </w:p>
  </w:footnote>
  <w:footnote w:type="continuationSeparator" w:id="0">
    <w:p w14:paraId="559E519C" w14:textId="77777777" w:rsidR="00080706" w:rsidRDefault="00080706" w:rsidP="003B1D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23435"/>
    <w:multiLevelType w:val="hybridMultilevel"/>
    <w:tmpl w:val="DC2E80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8014AF"/>
    <w:multiLevelType w:val="hybridMultilevel"/>
    <w:tmpl w:val="8036F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B2F63"/>
    <w:multiLevelType w:val="hybridMultilevel"/>
    <w:tmpl w:val="0FCC4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367A55"/>
    <w:multiLevelType w:val="hybridMultilevel"/>
    <w:tmpl w:val="266AF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04"/>
    <w:rsid w:val="000329CB"/>
    <w:rsid w:val="00076E14"/>
    <w:rsid w:val="00080706"/>
    <w:rsid w:val="000869AE"/>
    <w:rsid w:val="000C6B5E"/>
    <w:rsid w:val="000F06E9"/>
    <w:rsid w:val="001100A4"/>
    <w:rsid w:val="00110D35"/>
    <w:rsid w:val="001128BD"/>
    <w:rsid w:val="00113F8B"/>
    <w:rsid w:val="001411E9"/>
    <w:rsid w:val="0015153D"/>
    <w:rsid w:val="00151B6B"/>
    <w:rsid w:val="00156BB0"/>
    <w:rsid w:val="00157846"/>
    <w:rsid w:val="0016437A"/>
    <w:rsid w:val="00170D8D"/>
    <w:rsid w:val="00187447"/>
    <w:rsid w:val="001B1EAD"/>
    <w:rsid w:val="001F39BA"/>
    <w:rsid w:val="00210706"/>
    <w:rsid w:val="00224E86"/>
    <w:rsid w:val="00227C94"/>
    <w:rsid w:val="0024159B"/>
    <w:rsid w:val="00244BBA"/>
    <w:rsid w:val="00252A33"/>
    <w:rsid w:val="00265D29"/>
    <w:rsid w:val="00275981"/>
    <w:rsid w:val="002761A4"/>
    <w:rsid w:val="00276337"/>
    <w:rsid w:val="00284405"/>
    <w:rsid w:val="00285A8E"/>
    <w:rsid w:val="0029425F"/>
    <w:rsid w:val="00295CB3"/>
    <w:rsid w:val="002A1BCA"/>
    <w:rsid w:val="002F343A"/>
    <w:rsid w:val="003247B3"/>
    <w:rsid w:val="00347C04"/>
    <w:rsid w:val="00381AA0"/>
    <w:rsid w:val="00381CFF"/>
    <w:rsid w:val="00383C01"/>
    <w:rsid w:val="00390371"/>
    <w:rsid w:val="003A7901"/>
    <w:rsid w:val="003B1D2D"/>
    <w:rsid w:val="003B1DA1"/>
    <w:rsid w:val="003C454D"/>
    <w:rsid w:val="003C7B8F"/>
    <w:rsid w:val="003D2D57"/>
    <w:rsid w:val="003D60E7"/>
    <w:rsid w:val="003F23F8"/>
    <w:rsid w:val="004028B1"/>
    <w:rsid w:val="00441E62"/>
    <w:rsid w:val="00444E8C"/>
    <w:rsid w:val="0045297F"/>
    <w:rsid w:val="004926EB"/>
    <w:rsid w:val="0049366E"/>
    <w:rsid w:val="004A262D"/>
    <w:rsid w:val="004A693C"/>
    <w:rsid w:val="004B417B"/>
    <w:rsid w:val="004B596D"/>
    <w:rsid w:val="004C01F3"/>
    <w:rsid w:val="004D1717"/>
    <w:rsid w:val="004E4E9F"/>
    <w:rsid w:val="004E7694"/>
    <w:rsid w:val="004F7C88"/>
    <w:rsid w:val="00502FA2"/>
    <w:rsid w:val="0053190B"/>
    <w:rsid w:val="00537810"/>
    <w:rsid w:val="00553D93"/>
    <w:rsid w:val="00561E2C"/>
    <w:rsid w:val="00580977"/>
    <w:rsid w:val="00595026"/>
    <w:rsid w:val="005B432F"/>
    <w:rsid w:val="005D0BE8"/>
    <w:rsid w:val="005D1D81"/>
    <w:rsid w:val="005D6E2A"/>
    <w:rsid w:val="005E7043"/>
    <w:rsid w:val="006041AF"/>
    <w:rsid w:val="00605A62"/>
    <w:rsid w:val="00626AE8"/>
    <w:rsid w:val="00676CE8"/>
    <w:rsid w:val="006936C0"/>
    <w:rsid w:val="006971BB"/>
    <w:rsid w:val="006A502A"/>
    <w:rsid w:val="006C0974"/>
    <w:rsid w:val="006C5363"/>
    <w:rsid w:val="006E433C"/>
    <w:rsid w:val="006E6F61"/>
    <w:rsid w:val="006F0095"/>
    <w:rsid w:val="00705AEE"/>
    <w:rsid w:val="00722CF1"/>
    <w:rsid w:val="00727907"/>
    <w:rsid w:val="007564BD"/>
    <w:rsid w:val="00762B37"/>
    <w:rsid w:val="007867AE"/>
    <w:rsid w:val="00786E73"/>
    <w:rsid w:val="00793C60"/>
    <w:rsid w:val="007B51C5"/>
    <w:rsid w:val="007C4385"/>
    <w:rsid w:val="007D3F62"/>
    <w:rsid w:val="00800B34"/>
    <w:rsid w:val="008051D1"/>
    <w:rsid w:val="00806665"/>
    <w:rsid w:val="0081180A"/>
    <w:rsid w:val="0081736C"/>
    <w:rsid w:val="00832F9E"/>
    <w:rsid w:val="00836DB4"/>
    <w:rsid w:val="00846263"/>
    <w:rsid w:val="0084652C"/>
    <w:rsid w:val="00861128"/>
    <w:rsid w:val="00866FC6"/>
    <w:rsid w:val="008C5BE5"/>
    <w:rsid w:val="008D64DD"/>
    <w:rsid w:val="008D7260"/>
    <w:rsid w:val="00907F66"/>
    <w:rsid w:val="009118A0"/>
    <w:rsid w:val="00912C6C"/>
    <w:rsid w:val="00917485"/>
    <w:rsid w:val="00922126"/>
    <w:rsid w:val="009228C3"/>
    <w:rsid w:val="0092538B"/>
    <w:rsid w:val="00933D69"/>
    <w:rsid w:val="0094166E"/>
    <w:rsid w:val="00945A2E"/>
    <w:rsid w:val="00947A1D"/>
    <w:rsid w:val="009631C7"/>
    <w:rsid w:val="00965CF9"/>
    <w:rsid w:val="00984C8A"/>
    <w:rsid w:val="009859E3"/>
    <w:rsid w:val="009A5F8B"/>
    <w:rsid w:val="009B1E7E"/>
    <w:rsid w:val="009B64F0"/>
    <w:rsid w:val="009D0D4C"/>
    <w:rsid w:val="00A05D48"/>
    <w:rsid w:val="00A1549B"/>
    <w:rsid w:val="00A41245"/>
    <w:rsid w:val="00A6147B"/>
    <w:rsid w:val="00A6187D"/>
    <w:rsid w:val="00A639D5"/>
    <w:rsid w:val="00A67CA4"/>
    <w:rsid w:val="00A81810"/>
    <w:rsid w:val="00A8322F"/>
    <w:rsid w:val="00AA3B4D"/>
    <w:rsid w:val="00AA4F83"/>
    <w:rsid w:val="00AC3308"/>
    <w:rsid w:val="00AE5C55"/>
    <w:rsid w:val="00AE5F7A"/>
    <w:rsid w:val="00B14914"/>
    <w:rsid w:val="00B24307"/>
    <w:rsid w:val="00B35414"/>
    <w:rsid w:val="00B37623"/>
    <w:rsid w:val="00BB102C"/>
    <w:rsid w:val="00BB1198"/>
    <w:rsid w:val="00BD1874"/>
    <w:rsid w:val="00BD534A"/>
    <w:rsid w:val="00BE45BF"/>
    <w:rsid w:val="00BF78D8"/>
    <w:rsid w:val="00C14693"/>
    <w:rsid w:val="00C149DC"/>
    <w:rsid w:val="00C149DD"/>
    <w:rsid w:val="00C2059E"/>
    <w:rsid w:val="00C23B68"/>
    <w:rsid w:val="00C271CF"/>
    <w:rsid w:val="00C32033"/>
    <w:rsid w:val="00C47DA0"/>
    <w:rsid w:val="00C541B1"/>
    <w:rsid w:val="00C71975"/>
    <w:rsid w:val="00C7641F"/>
    <w:rsid w:val="00C85098"/>
    <w:rsid w:val="00CA07E2"/>
    <w:rsid w:val="00CC2C4B"/>
    <w:rsid w:val="00CC3260"/>
    <w:rsid w:val="00CD271C"/>
    <w:rsid w:val="00D008AF"/>
    <w:rsid w:val="00D048B4"/>
    <w:rsid w:val="00D0590D"/>
    <w:rsid w:val="00D22270"/>
    <w:rsid w:val="00D2487B"/>
    <w:rsid w:val="00D531D0"/>
    <w:rsid w:val="00D602AF"/>
    <w:rsid w:val="00D658EB"/>
    <w:rsid w:val="00D7539E"/>
    <w:rsid w:val="00D8019E"/>
    <w:rsid w:val="00D8202F"/>
    <w:rsid w:val="00DA3063"/>
    <w:rsid w:val="00DA6F16"/>
    <w:rsid w:val="00DD1BAC"/>
    <w:rsid w:val="00DE2FB6"/>
    <w:rsid w:val="00DE6CB5"/>
    <w:rsid w:val="00E14802"/>
    <w:rsid w:val="00E654BB"/>
    <w:rsid w:val="00E660B8"/>
    <w:rsid w:val="00E66D67"/>
    <w:rsid w:val="00E85845"/>
    <w:rsid w:val="00E95CD8"/>
    <w:rsid w:val="00EA46D3"/>
    <w:rsid w:val="00EB073E"/>
    <w:rsid w:val="00EF1F84"/>
    <w:rsid w:val="00EF66A3"/>
    <w:rsid w:val="00F050E6"/>
    <w:rsid w:val="00F477AD"/>
    <w:rsid w:val="00F51533"/>
    <w:rsid w:val="00F57916"/>
    <w:rsid w:val="00F6524F"/>
    <w:rsid w:val="00F74A97"/>
    <w:rsid w:val="00F823DA"/>
    <w:rsid w:val="00FC062B"/>
    <w:rsid w:val="00FC34A4"/>
    <w:rsid w:val="00FD24D2"/>
    <w:rsid w:val="00FE33DF"/>
    <w:rsid w:val="00FF2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8624"/>
  <w15:docId w15:val="{EF3B139D-BA3D-4E34-8BBB-6199F8DB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15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415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59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2227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308"/>
    <w:pPr>
      <w:ind w:left="720"/>
      <w:contextualSpacing/>
    </w:pPr>
  </w:style>
  <w:style w:type="table" w:styleId="TableGrid">
    <w:name w:val="Table Grid"/>
    <w:basedOn w:val="TableNormal"/>
    <w:uiPriority w:val="59"/>
    <w:rsid w:val="00CD2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6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1A4"/>
    <w:rPr>
      <w:rFonts w:ascii="Tahoma" w:hAnsi="Tahoma" w:cs="Tahoma"/>
      <w:sz w:val="16"/>
      <w:szCs w:val="16"/>
    </w:rPr>
  </w:style>
  <w:style w:type="paragraph" w:styleId="NormalWeb">
    <w:name w:val="Normal (Web)"/>
    <w:basedOn w:val="Normal"/>
    <w:uiPriority w:val="99"/>
    <w:semiHidden/>
    <w:unhideWhenUsed/>
    <w:rsid w:val="00EF66A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semiHidden/>
    <w:unhideWhenUsed/>
    <w:rsid w:val="003B1D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DA1"/>
    <w:rPr>
      <w:sz w:val="20"/>
      <w:szCs w:val="20"/>
    </w:rPr>
  </w:style>
  <w:style w:type="character" w:styleId="FootnoteReference">
    <w:name w:val="footnote reference"/>
    <w:basedOn w:val="DefaultParagraphFont"/>
    <w:uiPriority w:val="99"/>
    <w:semiHidden/>
    <w:unhideWhenUsed/>
    <w:rsid w:val="003B1DA1"/>
    <w:rPr>
      <w:vertAlign w:val="superscript"/>
    </w:rPr>
  </w:style>
  <w:style w:type="character" w:styleId="CommentReference">
    <w:name w:val="annotation reference"/>
    <w:basedOn w:val="DefaultParagraphFont"/>
    <w:uiPriority w:val="99"/>
    <w:semiHidden/>
    <w:unhideWhenUsed/>
    <w:rsid w:val="0084652C"/>
    <w:rPr>
      <w:sz w:val="16"/>
      <w:szCs w:val="16"/>
    </w:rPr>
  </w:style>
  <w:style w:type="paragraph" w:styleId="CommentText">
    <w:name w:val="annotation text"/>
    <w:basedOn w:val="Normal"/>
    <w:link w:val="CommentTextChar"/>
    <w:uiPriority w:val="99"/>
    <w:semiHidden/>
    <w:unhideWhenUsed/>
    <w:rsid w:val="0084652C"/>
    <w:pPr>
      <w:spacing w:line="240" w:lineRule="auto"/>
    </w:pPr>
    <w:rPr>
      <w:sz w:val="20"/>
      <w:szCs w:val="20"/>
    </w:rPr>
  </w:style>
  <w:style w:type="character" w:customStyle="1" w:styleId="CommentTextChar">
    <w:name w:val="Comment Text Char"/>
    <w:basedOn w:val="DefaultParagraphFont"/>
    <w:link w:val="CommentText"/>
    <w:uiPriority w:val="99"/>
    <w:semiHidden/>
    <w:rsid w:val="0084652C"/>
    <w:rPr>
      <w:sz w:val="20"/>
      <w:szCs w:val="20"/>
    </w:rPr>
  </w:style>
  <w:style w:type="paragraph" w:styleId="CommentSubject">
    <w:name w:val="annotation subject"/>
    <w:basedOn w:val="CommentText"/>
    <w:next w:val="CommentText"/>
    <w:link w:val="CommentSubjectChar"/>
    <w:uiPriority w:val="99"/>
    <w:semiHidden/>
    <w:unhideWhenUsed/>
    <w:rsid w:val="0084652C"/>
    <w:rPr>
      <w:b/>
      <w:bCs/>
    </w:rPr>
  </w:style>
  <w:style w:type="character" w:customStyle="1" w:styleId="CommentSubjectChar">
    <w:name w:val="Comment Subject Char"/>
    <w:basedOn w:val="CommentTextChar"/>
    <w:link w:val="CommentSubject"/>
    <w:uiPriority w:val="99"/>
    <w:semiHidden/>
    <w:rsid w:val="0084652C"/>
    <w:rPr>
      <w:b/>
      <w:bCs/>
      <w:sz w:val="20"/>
      <w:szCs w:val="20"/>
    </w:rPr>
  </w:style>
  <w:style w:type="paragraph" w:styleId="Caption">
    <w:name w:val="caption"/>
    <w:basedOn w:val="Normal"/>
    <w:next w:val="Normal"/>
    <w:uiPriority w:val="35"/>
    <w:unhideWhenUsed/>
    <w:qFormat/>
    <w:rsid w:val="008C5BE5"/>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24159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4159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4159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22270"/>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170D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D8D"/>
  </w:style>
  <w:style w:type="paragraph" w:styleId="Footer">
    <w:name w:val="footer"/>
    <w:basedOn w:val="Normal"/>
    <w:link w:val="FooterChar"/>
    <w:uiPriority w:val="99"/>
    <w:unhideWhenUsed/>
    <w:rsid w:val="00170D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D8D"/>
  </w:style>
  <w:style w:type="paragraph" w:styleId="NoSpacing">
    <w:name w:val="No Spacing"/>
    <w:link w:val="NoSpacingChar"/>
    <w:uiPriority w:val="1"/>
    <w:qFormat/>
    <w:rsid w:val="00170D8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70D8D"/>
    <w:rPr>
      <w:rFonts w:eastAsiaTheme="minorEastAsia"/>
      <w:lang w:val="en-US"/>
    </w:rPr>
  </w:style>
  <w:style w:type="paragraph" w:styleId="TOCHeading">
    <w:name w:val="TOC Heading"/>
    <w:basedOn w:val="Heading1"/>
    <w:next w:val="Normal"/>
    <w:uiPriority w:val="39"/>
    <w:unhideWhenUsed/>
    <w:qFormat/>
    <w:rsid w:val="00170D8D"/>
    <w:pPr>
      <w:spacing w:line="259" w:lineRule="auto"/>
      <w:outlineLvl w:val="9"/>
    </w:pPr>
    <w:rPr>
      <w:lang w:val="en-US"/>
    </w:rPr>
  </w:style>
  <w:style w:type="paragraph" w:styleId="TOC2">
    <w:name w:val="toc 2"/>
    <w:basedOn w:val="Normal"/>
    <w:next w:val="Normal"/>
    <w:autoRedefine/>
    <w:uiPriority w:val="39"/>
    <w:unhideWhenUsed/>
    <w:rsid w:val="00170D8D"/>
    <w:pPr>
      <w:spacing w:after="100"/>
      <w:ind w:left="220"/>
    </w:pPr>
  </w:style>
  <w:style w:type="paragraph" w:styleId="TOC3">
    <w:name w:val="toc 3"/>
    <w:basedOn w:val="Normal"/>
    <w:next w:val="Normal"/>
    <w:autoRedefine/>
    <w:uiPriority w:val="39"/>
    <w:unhideWhenUsed/>
    <w:rsid w:val="00170D8D"/>
    <w:pPr>
      <w:spacing w:after="100"/>
      <w:ind w:left="440"/>
    </w:pPr>
  </w:style>
  <w:style w:type="character" w:styleId="Hyperlink">
    <w:name w:val="Hyperlink"/>
    <w:basedOn w:val="DefaultParagraphFont"/>
    <w:uiPriority w:val="99"/>
    <w:unhideWhenUsed/>
    <w:rsid w:val="00170D8D"/>
    <w:rPr>
      <w:color w:val="0000FF" w:themeColor="hyperlink"/>
      <w:u w:val="single"/>
    </w:rPr>
  </w:style>
  <w:style w:type="character" w:styleId="FollowedHyperlink">
    <w:name w:val="FollowedHyperlink"/>
    <w:basedOn w:val="DefaultParagraphFont"/>
    <w:uiPriority w:val="99"/>
    <w:semiHidden/>
    <w:unhideWhenUsed/>
    <w:rsid w:val="00EF1F84"/>
    <w:rPr>
      <w:color w:val="800080" w:themeColor="followedHyperlink"/>
      <w:u w:val="single"/>
    </w:rPr>
  </w:style>
  <w:style w:type="table" w:styleId="GridTable4-Accent1">
    <w:name w:val="Grid Table 4 Accent 1"/>
    <w:basedOn w:val="TableNormal"/>
    <w:uiPriority w:val="49"/>
    <w:rsid w:val="0081180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3790">
      <w:bodyDiv w:val="1"/>
      <w:marLeft w:val="0"/>
      <w:marRight w:val="0"/>
      <w:marTop w:val="0"/>
      <w:marBottom w:val="0"/>
      <w:divBdr>
        <w:top w:val="none" w:sz="0" w:space="0" w:color="auto"/>
        <w:left w:val="none" w:sz="0" w:space="0" w:color="auto"/>
        <w:bottom w:val="none" w:sz="0" w:space="0" w:color="auto"/>
        <w:right w:val="none" w:sz="0" w:space="0" w:color="auto"/>
      </w:divBdr>
    </w:div>
    <w:div w:id="25260382">
      <w:bodyDiv w:val="1"/>
      <w:marLeft w:val="0"/>
      <w:marRight w:val="0"/>
      <w:marTop w:val="0"/>
      <w:marBottom w:val="0"/>
      <w:divBdr>
        <w:top w:val="none" w:sz="0" w:space="0" w:color="auto"/>
        <w:left w:val="none" w:sz="0" w:space="0" w:color="auto"/>
        <w:bottom w:val="none" w:sz="0" w:space="0" w:color="auto"/>
        <w:right w:val="none" w:sz="0" w:space="0" w:color="auto"/>
      </w:divBdr>
    </w:div>
    <w:div w:id="104076781">
      <w:bodyDiv w:val="1"/>
      <w:marLeft w:val="0"/>
      <w:marRight w:val="0"/>
      <w:marTop w:val="0"/>
      <w:marBottom w:val="0"/>
      <w:divBdr>
        <w:top w:val="none" w:sz="0" w:space="0" w:color="auto"/>
        <w:left w:val="none" w:sz="0" w:space="0" w:color="auto"/>
        <w:bottom w:val="none" w:sz="0" w:space="0" w:color="auto"/>
        <w:right w:val="none" w:sz="0" w:space="0" w:color="auto"/>
      </w:divBdr>
    </w:div>
    <w:div w:id="159388831">
      <w:bodyDiv w:val="1"/>
      <w:marLeft w:val="0"/>
      <w:marRight w:val="0"/>
      <w:marTop w:val="0"/>
      <w:marBottom w:val="0"/>
      <w:divBdr>
        <w:top w:val="none" w:sz="0" w:space="0" w:color="auto"/>
        <w:left w:val="none" w:sz="0" w:space="0" w:color="auto"/>
        <w:bottom w:val="none" w:sz="0" w:space="0" w:color="auto"/>
        <w:right w:val="none" w:sz="0" w:space="0" w:color="auto"/>
      </w:divBdr>
    </w:div>
    <w:div w:id="163135336">
      <w:bodyDiv w:val="1"/>
      <w:marLeft w:val="0"/>
      <w:marRight w:val="0"/>
      <w:marTop w:val="0"/>
      <w:marBottom w:val="0"/>
      <w:divBdr>
        <w:top w:val="none" w:sz="0" w:space="0" w:color="auto"/>
        <w:left w:val="none" w:sz="0" w:space="0" w:color="auto"/>
        <w:bottom w:val="none" w:sz="0" w:space="0" w:color="auto"/>
        <w:right w:val="none" w:sz="0" w:space="0" w:color="auto"/>
      </w:divBdr>
    </w:div>
    <w:div w:id="290479986">
      <w:bodyDiv w:val="1"/>
      <w:marLeft w:val="0"/>
      <w:marRight w:val="0"/>
      <w:marTop w:val="0"/>
      <w:marBottom w:val="0"/>
      <w:divBdr>
        <w:top w:val="none" w:sz="0" w:space="0" w:color="auto"/>
        <w:left w:val="none" w:sz="0" w:space="0" w:color="auto"/>
        <w:bottom w:val="none" w:sz="0" w:space="0" w:color="auto"/>
        <w:right w:val="none" w:sz="0" w:space="0" w:color="auto"/>
      </w:divBdr>
    </w:div>
    <w:div w:id="355548311">
      <w:bodyDiv w:val="1"/>
      <w:marLeft w:val="0"/>
      <w:marRight w:val="0"/>
      <w:marTop w:val="0"/>
      <w:marBottom w:val="0"/>
      <w:divBdr>
        <w:top w:val="none" w:sz="0" w:space="0" w:color="auto"/>
        <w:left w:val="none" w:sz="0" w:space="0" w:color="auto"/>
        <w:bottom w:val="none" w:sz="0" w:space="0" w:color="auto"/>
        <w:right w:val="none" w:sz="0" w:space="0" w:color="auto"/>
      </w:divBdr>
    </w:div>
    <w:div w:id="380447398">
      <w:bodyDiv w:val="1"/>
      <w:marLeft w:val="0"/>
      <w:marRight w:val="0"/>
      <w:marTop w:val="0"/>
      <w:marBottom w:val="0"/>
      <w:divBdr>
        <w:top w:val="none" w:sz="0" w:space="0" w:color="auto"/>
        <w:left w:val="none" w:sz="0" w:space="0" w:color="auto"/>
        <w:bottom w:val="none" w:sz="0" w:space="0" w:color="auto"/>
        <w:right w:val="none" w:sz="0" w:space="0" w:color="auto"/>
      </w:divBdr>
    </w:div>
    <w:div w:id="410859101">
      <w:bodyDiv w:val="1"/>
      <w:marLeft w:val="0"/>
      <w:marRight w:val="0"/>
      <w:marTop w:val="0"/>
      <w:marBottom w:val="0"/>
      <w:divBdr>
        <w:top w:val="none" w:sz="0" w:space="0" w:color="auto"/>
        <w:left w:val="none" w:sz="0" w:space="0" w:color="auto"/>
        <w:bottom w:val="none" w:sz="0" w:space="0" w:color="auto"/>
        <w:right w:val="none" w:sz="0" w:space="0" w:color="auto"/>
      </w:divBdr>
    </w:div>
    <w:div w:id="465857838">
      <w:bodyDiv w:val="1"/>
      <w:marLeft w:val="0"/>
      <w:marRight w:val="0"/>
      <w:marTop w:val="0"/>
      <w:marBottom w:val="0"/>
      <w:divBdr>
        <w:top w:val="none" w:sz="0" w:space="0" w:color="auto"/>
        <w:left w:val="none" w:sz="0" w:space="0" w:color="auto"/>
        <w:bottom w:val="none" w:sz="0" w:space="0" w:color="auto"/>
        <w:right w:val="none" w:sz="0" w:space="0" w:color="auto"/>
      </w:divBdr>
    </w:div>
    <w:div w:id="471367577">
      <w:bodyDiv w:val="1"/>
      <w:marLeft w:val="0"/>
      <w:marRight w:val="0"/>
      <w:marTop w:val="0"/>
      <w:marBottom w:val="0"/>
      <w:divBdr>
        <w:top w:val="none" w:sz="0" w:space="0" w:color="auto"/>
        <w:left w:val="none" w:sz="0" w:space="0" w:color="auto"/>
        <w:bottom w:val="none" w:sz="0" w:space="0" w:color="auto"/>
        <w:right w:val="none" w:sz="0" w:space="0" w:color="auto"/>
      </w:divBdr>
    </w:div>
    <w:div w:id="472219636">
      <w:bodyDiv w:val="1"/>
      <w:marLeft w:val="0"/>
      <w:marRight w:val="0"/>
      <w:marTop w:val="0"/>
      <w:marBottom w:val="0"/>
      <w:divBdr>
        <w:top w:val="none" w:sz="0" w:space="0" w:color="auto"/>
        <w:left w:val="none" w:sz="0" w:space="0" w:color="auto"/>
        <w:bottom w:val="none" w:sz="0" w:space="0" w:color="auto"/>
        <w:right w:val="none" w:sz="0" w:space="0" w:color="auto"/>
      </w:divBdr>
    </w:div>
    <w:div w:id="493298997">
      <w:bodyDiv w:val="1"/>
      <w:marLeft w:val="0"/>
      <w:marRight w:val="0"/>
      <w:marTop w:val="0"/>
      <w:marBottom w:val="0"/>
      <w:divBdr>
        <w:top w:val="none" w:sz="0" w:space="0" w:color="auto"/>
        <w:left w:val="none" w:sz="0" w:space="0" w:color="auto"/>
        <w:bottom w:val="none" w:sz="0" w:space="0" w:color="auto"/>
        <w:right w:val="none" w:sz="0" w:space="0" w:color="auto"/>
      </w:divBdr>
    </w:div>
    <w:div w:id="674265852">
      <w:bodyDiv w:val="1"/>
      <w:marLeft w:val="0"/>
      <w:marRight w:val="0"/>
      <w:marTop w:val="0"/>
      <w:marBottom w:val="0"/>
      <w:divBdr>
        <w:top w:val="none" w:sz="0" w:space="0" w:color="auto"/>
        <w:left w:val="none" w:sz="0" w:space="0" w:color="auto"/>
        <w:bottom w:val="none" w:sz="0" w:space="0" w:color="auto"/>
        <w:right w:val="none" w:sz="0" w:space="0" w:color="auto"/>
      </w:divBdr>
    </w:div>
    <w:div w:id="714425386">
      <w:bodyDiv w:val="1"/>
      <w:marLeft w:val="0"/>
      <w:marRight w:val="0"/>
      <w:marTop w:val="0"/>
      <w:marBottom w:val="0"/>
      <w:divBdr>
        <w:top w:val="none" w:sz="0" w:space="0" w:color="auto"/>
        <w:left w:val="none" w:sz="0" w:space="0" w:color="auto"/>
        <w:bottom w:val="none" w:sz="0" w:space="0" w:color="auto"/>
        <w:right w:val="none" w:sz="0" w:space="0" w:color="auto"/>
      </w:divBdr>
    </w:div>
    <w:div w:id="793790615">
      <w:bodyDiv w:val="1"/>
      <w:marLeft w:val="0"/>
      <w:marRight w:val="0"/>
      <w:marTop w:val="0"/>
      <w:marBottom w:val="0"/>
      <w:divBdr>
        <w:top w:val="none" w:sz="0" w:space="0" w:color="auto"/>
        <w:left w:val="none" w:sz="0" w:space="0" w:color="auto"/>
        <w:bottom w:val="none" w:sz="0" w:space="0" w:color="auto"/>
        <w:right w:val="none" w:sz="0" w:space="0" w:color="auto"/>
      </w:divBdr>
    </w:div>
    <w:div w:id="948046383">
      <w:bodyDiv w:val="1"/>
      <w:marLeft w:val="0"/>
      <w:marRight w:val="0"/>
      <w:marTop w:val="0"/>
      <w:marBottom w:val="0"/>
      <w:divBdr>
        <w:top w:val="none" w:sz="0" w:space="0" w:color="auto"/>
        <w:left w:val="none" w:sz="0" w:space="0" w:color="auto"/>
        <w:bottom w:val="none" w:sz="0" w:space="0" w:color="auto"/>
        <w:right w:val="none" w:sz="0" w:space="0" w:color="auto"/>
      </w:divBdr>
    </w:div>
    <w:div w:id="1009142837">
      <w:bodyDiv w:val="1"/>
      <w:marLeft w:val="0"/>
      <w:marRight w:val="0"/>
      <w:marTop w:val="0"/>
      <w:marBottom w:val="0"/>
      <w:divBdr>
        <w:top w:val="none" w:sz="0" w:space="0" w:color="auto"/>
        <w:left w:val="none" w:sz="0" w:space="0" w:color="auto"/>
        <w:bottom w:val="none" w:sz="0" w:space="0" w:color="auto"/>
        <w:right w:val="none" w:sz="0" w:space="0" w:color="auto"/>
      </w:divBdr>
    </w:div>
    <w:div w:id="1042709823">
      <w:bodyDiv w:val="1"/>
      <w:marLeft w:val="0"/>
      <w:marRight w:val="0"/>
      <w:marTop w:val="0"/>
      <w:marBottom w:val="0"/>
      <w:divBdr>
        <w:top w:val="none" w:sz="0" w:space="0" w:color="auto"/>
        <w:left w:val="none" w:sz="0" w:space="0" w:color="auto"/>
        <w:bottom w:val="none" w:sz="0" w:space="0" w:color="auto"/>
        <w:right w:val="none" w:sz="0" w:space="0" w:color="auto"/>
      </w:divBdr>
    </w:div>
    <w:div w:id="1111051065">
      <w:bodyDiv w:val="1"/>
      <w:marLeft w:val="0"/>
      <w:marRight w:val="0"/>
      <w:marTop w:val="0"/>
      <w:marBottom w:val="0"/>
      <w:divBdr>
        <w:top w:val="none" w:sz="0" w:space="0" w:color="auto"/>
        <w:left w:val="none" w:sz="0" w:space="0" w:color="auto"/>
        <w:bottom w:val="none" w:sz="0" w:space="0" w:color="auto"/>
        <w:right w:val="none" w:sz="0" w:space="0" w:color="auto"/>
      </w:divBdr>
    </w:div>
    <w:div w:id="1167554300">
      <w:bodyDiv w:val="1"/>
      <w:marLeft w:val="0"/>
      <w:marRight w:val="0"/>
      <w:marTop w:val="0"/>
      <w:marBottom w:val="0"/>
      <w:divBdr>
        <w:top w:val="none" w:sz="0" w:space="0" w:color="auto"/>
        <w:left w:val="none" w:sz="0" w:space="0" w:color="auto"/>
        <w:bottom w:val="none" w:sz="0" w:space="0" w:color="auto"/>
        <w:right w:val="none" w:sz="0" w:space="0" w:color="auto"/>
      </w:divBdr>
    </w:div>
    <w:div w:id="1169950179">
      <w:bodyDiv w:val="1"/>
      <w:marLeft w:val="0"/>
      <w:marRight w:val="0"/>
      <w:marTop w:val="0"/>
      <w:marBottom w:val="0"/>
      <w:divBdr>
        <w:top w:val="none" w:sz="0" w:space="0" w:color="auto"/>
        <w:left w:val="none" w:sz="0" w:space="0" w:color="auto"/>
        <w:bottom w:val="none" w:sz="0" w:space="0" w:color="auto"/>
        <w:right w:val="none" w:sz="0" w:space="0" w:color="auto"/>
      </w:divBdr>
    </w:div>
    <w:div w:id="1194155231">
      <w:bodyDiv w:val="1"/>
      <w:marLeft w:val="0"/>
      <w:marRight w:val="0"/>
      <w:marTop w:val="0"/>
      <w:marBottom w:val="0"/>
      <w:divBdr>
        <w:top w:val="none" w:sz="0" w:space="0" w:color="auto"/>
        <w:left w:val="none" w:sz="0" w:space="0" w:color="auto"/>
        <w:bottom w:val="none" w:sz="0" w:space="0" w:color="auto"/>
        <w:right w:val="none" w:sz="0" w:space="0" w:color="auto"/>
      </w:divBdr>
    </w:div>
    <w:div w:id="1257060154">
      <w:bodyDiv w:val="1"/>
      <w:marLeft w:val="0"/>
      <w:marRight w:val="0"/>
      <w:marTop w:val="0"/>
      <w:marBottom w:val="0"/>
      <w:divBdr>
        <w:top w:val="none" w:sz="0" w:space="0" w:color="auto"/>
        <w:left w:val="none" w:sz="0" w:space="0" w:color="auto"/>
        <w:bottom w:val="none" w:sz="0" w:space="0" w:color="auto"/>
        <w:right w:val="none" w:sz="0" w:space="0" w:color="auto"/>
      </w:divBdr>
    </w:div>
    <w:div w:id="1351177398">
      <w:bodyDiv w:val="1"/>
      <w:marLeft w:val="0"/>
      <w:marRight w:val="0"/>
      <w:marTop w:val="0"/>
      <w:marBottom w:val="0"/>
      <w:divBdr>
        <w:top w:val="none" w:sz="0" w:space="0" w:color="auto"/>
        <w:left w:val="none" w:sz="0" w:space="0" w:color="auto"/>
        <w:bottom w:val="none" w:sz="0" w:space="0" w:color="auto"/>
        <w:right w:val="none" w:sz="0" w:space="0" w:color="auto"/>
      </w:divBdr>
    </w:div>
    <w:div w:id="1364592962">
      <w:bodyDiv w:val="1"/>
      <w:marLeft w:val="0"/>
      <w:marRight w:val="0"/>
      <w:marTop w:val="0"/>
      <w:marBottom w:val="0"/>
      <w:divBdr>
        <w:top w:val="none" w:sz="0" w:space="0" w:color="auto"/>
        <w:left w:val="none" w:sz="0" w:space="0" w:color="auto"/>
        <w:bottom w:val="none" w:sz="0" w:space="0" w:color="auto"/>
        <w:right w:val="none" w:sz="0" w:space="0" w:color="auto"/>
      </w:divBdr>
    </w:div>
    <w:div w:id="1447042865">
      <w:bodyDiv w:val="1"/>
      <w:marLeft w:val="0"/>
      <w:marRight w:val="0"/>
      <w:marTop w:val="0"/>
      <w:marBottom w:val="0"/>
      <w:divBdr>
        <w:top w:val="none" w:sz="0" w:space="0" w:color="auto"/>
        <w:left w:val="none" w:sz="0" w:space="0" w:color="auto"/>
        <w:bottom w:val="none" w:sz="0" w:space="0" w:color="auto"/>
        <w:right w:val="none" w:sz="0" w:space="0" w:color="auto"/>
      </w:divBdr>
    </w:div>
    <w:div w:id="1531528700">
      <w:bodyDiv w:val="1"/>
      <w:marLeft w:val="0"/>
      <w:marRight w:val="0"/>
      <w:marTop w:val="0"/>
      <w:marBottom w:val="0"/>
      <w:divBdr>
        <w:top w:val="none" w:sz="0" w:space="0" w:color="auto"/>
        <w:left w:val="none" w:sz="0" w:space="0" w:color="auto"/>
        <w:bottom w:val="none" w:sz="0" w:space="0" w:color="auto"/>
        <w:right w:val="none" w:sz="0" w:space="0" w:color="auto"/>
      </w:divBdr>
    </w:div>
    <w:div w:id="1614822278">
      <w:bodyDiv w:val="1"/>
      <w:marLeft w:val="0"/>
      <w:marRight w:val="0"/>
      <w:marTop w:val="0"/>
      <w:marBottom w:val="0"/>
      <w:divBdr>
        <w:top w:val="none" w:sz="0" w:space="0" w:color="auto"/>
        <w:left w:val="none" w:sz="0" w:space="0" w:color="auto"/>
        <w:bottom w:val="none" w:sz="0" w:space="0" w:color="auto"/>
        <w:right w:val="none" w:sz="0" w:space="0" w:color="auto"/>
      </w:divBdr>
    </w:div>
    <w:div w:id="1732118139">
      <w:bodyDiv w:val="1"/>
      <w:marLeft w:val="0"/>
      <w:marRight w:val="0"/>
      <w:marTop w:val="0"/>
      <w:marBottom w:val="0"/>
      <w:divBdr>
        <w:top w:val="none" w:sz="0" w:space="0" w:color="auto"/>
        <w:left w:val="none" w:sz="0" w:space="0" w:color="auto"/>
        <w:bottom w:val="none" w:sz="0" w:space="0" w:color="auto"/>
        <w:right w:val="none" w:sz="0" w:space="0" w:color="auto"/>
      </w:divBdr>
    </w:div>
    <w:div w:id="1768692429">
      <w:bodyDiv w:val="1"/>
      <w:marLeft w:val="0"/>
      <w:marRight w:val="0"/>
      <w:marTop w:val="0"/>
      <w:marBottom w:val="0"/>
      <w:divBdr>
        <w:top w:val="none" w:sz="0" w:space="0" w:color="auto"/>
        <w:left w:val="none" w:sz="0" w:space="0" w:color="auto"/>
        <w:bottom w:val="none" w:sz="0" w:space="0" w:color="auto"/>
        <w:right w:val="none" w:sz="0" w:space="0" w:color="auto"/>
      </w:divBdr>
    </w:div>
    <w:div w:id="1769154760">
      <w:bodyDiv w:val="1"/>
      <w:marLeft w:val="0"/>
      <w:marRight w:val="0"/>
      <w:marTop w:val="0"/>
      <w:marBottom w:val="0"/>
      <w:divBdr>
        <w:top w:val="none" w:sz="0" w:space="0" w:color="auto"/>
        <w:left w:val="none" w:sz="0" w:space="0" w:color="auto"/>
        <w:bottom w:val="none" w:sz="0" w:space="0" w:color="auto"/>
        <w:right w:val="none" w:sz="0" w:space="0" w:color="auto"/>
      </w:divBdr>
    </w:div>
    <w:div w:id="1778594368">
      <w:bodyDiv w:val="1"/>
      <w:marLeft w:val="0"/>
      <w:marRight w:val="0"/>
      <w:marTop w:val="0"/>
      <w:marBottom w:val="0"/>
      <w:divBdr>
        <w:top w:val="none" w:sz="0" w:space="0" w:color="auto"/>
        <w:left w:val="none" w:sz="0" w:space="0" w:color="auto"/>
        <w:bottom w:val="none" w:sz="0" w:space="0" w:color="auto"/>
        <w:right w:val="none" w:sz="0" w:space="0" w:color="auto"/>
      </w:divBdr>
    </w:div>
    <w:div w:id="1791513470">
      <w:bodyDiv w:val="1"/>
      <w:marLeft w:val="0"/>
      <w:marRight w:val="0"/>
      <w:marTop w:val="0"/>
      <w:marBottom w:val="0"/>
      <w:divBdr>
        <w:top w:val="none" w:sz="0" w:space="0" w:color="auto"/>
        <w:left w:val="none" w:sz="0" w:space="0" w:color="auto"/>
        <w:bottom w:val="none" w:sz="0" w:space="0" w:color="auto"/>
        <w:right w:val="none" w:sz="0" w:space="0" w:color="auto"/>
      </w:divBdr>
    </w:div>
    <w:div w:id="1793818132">
      <w:bodyDiv w:val="1"/>
      <w:marLeft w:val="0"/>
      <w:marRight w:val="0"/>
      <w:marTop w:val="0"/>
      <w:marBottom w:val="0"/>
      <w:divBdr>
        <w:top w:val="none" w:sz="0" w:space="0" w:color="auto"/>
        <w:left w:val="none" w:sz="0" w:space="0" w:color="auto"/>
        <w:bottom w:val="none" w:sz="0" w:space="0" w:color="auto"/>
        <w:right w:val="none" w:sz="0" w:space="0" w:color="auto"/>
      </w:divBdr>
    </w:div>
    <w:div w:id="1871916533">
      <w:bodyDiv w:val="1"/>
      <w:marLeft w:val="0"/>
      <w:marRight w:val="0"/>
      <w:marTop w:val="0"/>
      <w:marBottom w:val="0"/>
      <w:divBdr>
        <w:top w:val="none" w:sz="0" w:space="0" w:color="auto"/>
        <w:left w:val="none" w:sz="0" w:space="0" w:color="auto"/>
        <w:bottom w:val="none" w:sz="0" w:space="0" w:color="auto"/>
        <w:right w:val="none" w:sz="0" w:space="0" w:color="auto"/>
      </w:divBdr>
    </w:div>
    <w:div w:id="1872181266">
      <w:bodyDiv w:val="1"/>
      <w:marLeft w:val="0"/>
      <w:marRight w:val="0"/>
      <w:marTop w:val="0"/>
      <w:marBottom w:val="0"/>
      <w:divBdr>
        <w:top w:val="none" w:sz="0" w:space="0" w:color="auto"/>
        <w:left w:val="none" w:sz="0" w:space="0" w:color="auto"/>
        <w:bottom w:val="none" w:sz="0" w:space="0" w:color="auto"/>
        <w:right w:val="none" w:sz="0" w:space="0" w:color="auto"/>
      </w:divBdr>
      <w:divsChild>
        <w:div w:id="919603838">
          <w:marLeft w:val="0"/>
          <w:marRight w:val="0"/>
          <w:marTop w:val="0"/>
          <w:marBottom w:val="0"/>
          <w:divBdr>
            <w:top w:val="none" w:sz="0" w:space="0" w:color="auto"/>
            <w:left w:val="none" w:sz="0" w:space="0" w:color="auto"/>
            <w:bottom w:val="none" w:sz="0" w:space="0" w:color="auto"/>
            <w:right w:val="none" w:sz="0" w:space="0" w:color="auto"/>
          </w:divBdr>
        </w:div>
        <w:div w:id="316148287">
          <w:marLeft w:val="0"/>
          <w:marRight w:val="0"/>
          <w:marTop w:val="0"/>
          <w:marBottom w:val="0"/>
          <w:divBdr>
            <w:top w:val="none" w:sz="0" w:space="0" w:color="auto"/>
            <w:left w:val="none" w:sz="0" w:space="0" w:color="auto"/>
            <w:bottom w:val="none" w:sz="0" w:space="0" w:color="auto"/>
            <w:right w:val="none" w:sz="0" w:space="0" w:color="auto"/>
          </w:divBdr>
        </w:div>
        <w:div w:id="489372222">
          <w:marLeft w:val="0"/>
          <w:marRight w:val="0"/>
          <w:marTop w:val="0"/>
          <w:marBottom w:val="0"/>
          <w:divBdr>
            <w:top w:val="none" w:sz="0" w:space="0" w:color="auto"/>
            <w:left w:val="none" w:sz="0" w:space="0" w:color="auto"/>
            <w:bottom w:val="none" w:sz="0" w:space="0" w:color="auto"/>
            <w:right w:val="none" w:sz="0" w:space="0" w:color="auto"/>
          </w:divBdr>
        </w:div>
        <w:div w:id="2032100921">
          <w:marLeft w:val="0"/>
          <w:marRight w:val="0"/>
          <w:marTop w:val="0"/>
          <w:marBottom w:val="0"/>
          <w:divBdr>
            <w:top w:val="none" w:sz="0" w:space="0" w:color="auto"/>
            <w:left w:val="none" w:sz="0" w:space="0" w:color="auto"/>
            <w:bottom w:val="none" w:sz="0" w:space="0" w:color="auto"/>
            <w:right w:val="none" w:sz="0" w:space="0" w:color="auto"/>
          </w:divBdr>
        </w:div>
        <w:div w:id="896161183">
          <w:marLeft w:val="0"/>
          <w:marRight w:val="0"/>
          <w:marTop w:val="0"/>
          <w:marBottom w:val="0"/>
          <w:divBdr>
            <w:top w:val="none" w:sz="0" w:space="0" w:color="auto"/>
            <w:left w:val="none" w:sz="0" w:space="0" w:color="auto"/>
            <w:bottom w:val="none" w:sz="0" w:space="0" w:color="auto"/>
            <w:right w:val="none" w:sz="0" w:space="0" w:color="auto"/>
          </w:divBdr>
        </w:div>
        <w:div w:id="1662847726">
          <w:marLeft w:val="0"/>
          <w:marRight w:val="0"/>
          <w:marTop w:val="0"/>
          <w:marBottom w:val="0"/>
          <w:divBdr>
            <w:top w:val="none" w:sz="0" w:space="0" w:color="auto"/>
            <w:left w:val="none" w:sz="0" w:space="0" w:color="auto"/>
            <w:bottom w:val="none" w:sz="0" w:space="0" w:color="auto"/>
            <w:right w:val="none" w:sz="0" w:space="0" w:color="auto"/>
          </w:divBdr>
        </w:div>
        <w:div w:id="1424378311">
          <w:marLeft w:val="0"/>
          <w:marRight w:val="0"/>
          <w:marTop w:val="0"/>
          <w:marBottom w:val="0"/>
          <w:divBdr>
            <w:top w:val="none" w:sz="0" w:space="0" w:color="auto"/>
            <w:left w:val="none" w:sz="0" w:space="0" w:color="auto"/>
            <w:bottom w:val="none" w:sz="0" w:space="0" w:color="auto"/>
            <w:right w:val="none" w:sz="0" w:space="0" w:color="auto"/>
          </w:divBdr>
        </w:div>
      </w:divsChild>
    </w:div>
    <w:div w:id="1913393626">
      <w:bodyDiv w:val="1"/>
      <w:marLeft w:val="0"/>
      <w:marRight w:val="0"/>
      <w:marTop w:val="0"/>
      <w:marBottom w:val="0"/>
      <w:divBdr>
        <w:top w:val="none" w:sz="0" w:space="0" w:color="auto"/>
        <w:left w:val="none" w:sz="0" w:space="0" w:color="auto"/>
        <w:bottom w:val="none" w:sz="0" w:space="0" w:color="auto"/>
        <w:right w:val="none" w:sz="0" w:space="0" w:color="auto"/>
      </w:divBdr>
    </w:div>
    <w:div w:id="1913654766">
      <w:bodyDiv w:val="1"/>
      <w:marLeft w:val="0"/>
      <w:marRight w:val="0"/>
      <w:marTop w:val="0"/>
      <w:marBottom w:val="0"/>
      <w:divBdr>
        <w:top w:val="none" w:sz="0" w:space="0" w:color="auto"/>
        <w:left w:val="none" w:sz="0" w:space="0" w:color="auto"/>
        <w:bottom w:val="none" w:sz="0" w:space="0" w:color="auto"/>
        <w:right w:val="none" w:sz="0" w:space="0" w:color="auto"/>
      </w:divBdr>
    </w:div>
    <w:div w:id="1956785139">
      <w:bodyDiv w:val="1"/>
      <w:marLeft w:val="0"/>
      <w:marRight w:val="0"/>
      <w:marTop w:val="0"/>
      <w:marBottom w:val="0"/>
      <w:divBdr>
        <w:top w:val="none" w:sz="0" w:space="0" w:color="auto"/>
        <w:left w:val="none" w:sz="0" w:space="0" w:color="auto"/>
        <w:bottom w:val="none" w:sz="0" w:space="0" w:color="auto"/>
        <w:right w:val="none" w:sz="0" w:space="0" w:color="auto"/>
      </w:divBdr>
    </w:div>
    <w:div w:id="20177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PC08800\Users\k1351096\SharePoint\E&amp;F%20-%20Sustainability%20Collabor%20-%20Car\BASELINE%20Too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Carbon (Scope 1&amp;2) Progress Against Target to 2013/14</a:t>
            </a:r>
          </a:p>
        </c:rich>
      </c:tx>
      <c:overlay val="0"/>
    </c:title>
    <c:autoTitleDeleted val="0"/>
    <c:plotArea>
      <c:layout>
        <c:manualLayout>
          <c:layoutTarget val="inner"/>
          <c:xMode val="edge"/>
          <c:yMode val="edge"/>
          <c:x val="0.15315109059643406"/>
          <c:y val="0.11921974909160435"/>
          <c:w val="0.82661902434609469"/>
          <c:h val="0.60581283077320258"/>
        </c:manualLayout>
      </c:layout>
      <c:barChart>
        <c:barDir val="col"/>
        <c:grouping val="clustered"/>
        <c:varyColors val="0"/>
        <c:ser>
          <c:idx val="3"/>
          <c:order val="2"/>
          <c:tx>
            <c:strRef>
              <c:f>'Baseline Scope Summary'!$V$49</c:f>
              <c:strCache>
                <c:ptCount val="1"/>
                <c:pt idx="0">
                  <c:v>Total Scope 1&amp;2 emissions</c:v>
                </c:pt>
              </c:strCache>
            </c:strRef>
          </c:tx>
          <c:spPr>
            <a:gradFill flip="none" rotWithShape="1">
              <a:gsLst>
                <a:gs pos="0">
                  <a:schemeClr val="tx2">
                    <a:lumMod val="90000"/>
                    <a:lumOff val="10000"/>
                  </a:schemeClr>
                </a:gs>
                <a:gs pos="50000">
                  <a:schemeClr val="accent1">
                    <a:tint val="44500"/>
                    <a:satMod val="160000"/>
                  </a:schemeClr>
                </a:gs>
                <a:gs pos="100000">
                  <a:schemeClr val="accent1">
                    <a:tint val="23500"/>
                    <a:satMod val="160000"/>
                  </a:schemeClr>
                </a:gs>
              </a:gsLst>
              <a:lin ang="16200000" scaled="1"/>
              <a:tileRect/>
            </a:gradFill>
            <a:effectLst>
              <a:innerShdw blurRad="63500" dist="50800" dir="2700000">
                <a:prstClr val="black">
                  <a:alpha val="50000"/>
                </a:prstClr>
              </a:innerShdw>
            </a:effectLst>
          </c:spPr>
          <c:invertIfNegative val="0"/>
          <c:cat>
            <c:strRef>
              <c:f>'Baseline Scope Summary'!$G$4:$U$4</c:f>
              <c:strCache>
                <c:ptCount val="15"/>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c:v>
                </c:pt>
                <c:pt idx="12">
                  <c:v>2017/18</c:v>
                </c:pt>
                <c:pt idx="13">
                  <c:v>2018/19</c:v>
                </c:pt>
                <c:pt idx="14">
                  <c:v>2019/20</c:v>
                </c:pt>
              </c:strCache>
            </c:strRef>
          </c:cat>
          <c:val>
            <c:numRef>
              <c:f>'Baseline Scope Summary'!$W$49:$AK$49</c:f>
              <c:numCache>
                <c:formatCode>_-* #,##0_-;\-* #,##0_-;_-* "-"??_-;_-@_-</c:formatCode>
                <c:ptCount val="15"/>
                <c:pt idx="0">
                  <c:v>32524.758041919999</c:v>
                </c:pt>
                <c:pt idx="1">
                  <c:v>35379.248923130246</c:v>
                </c:pt>
                <c:pt idx="2">
                  <c:v>33012.04183860858</c:v>
                </c:pt>
                <c:pt idx="3">
                  <c:v>34477.912366077515</c:v>
                </c:pt>
                <c:pt idx="4">
                  <c:v>34409.523581818925</c:v>
                </c:pt>
                <c:pt idx="5">
                  <c:v>32336.920777284278</c:v>
                </c:pt>
                <c:pt idx="6">
                  <c:v>30455.291302481437</c:v>
                </c:pt>
                <c:pt idx="7">
                  <c:v>28555.870973686673</c:v>
                </c:pt>
                <c:pt idx="8">
                  <c:v>30036.841556200929</c:v>
                </c:pt>
                <c:pt idx="9">
                  <c:v>30009.719360320822</c:v>
                </c:pt>
                <c:pt idx="10">
                  <c:v>0</c:v>
                </c:pt>
                <c:pt idx="11">
                  <c:v>0</c:v>
                </c:pt>
                <c:pt idx="12">
                  <c:v>0</c:v>
                </c:pt>
                <c:pt idx="13">
                  <c:v>0</c:v>
                </c:pt>
                <c:pt idx="14">
                  <c:v>0</c:v>
                </c:pt>
              </c:numCache>
            </c:numRef>
          </c:val>
          <c:extLst xmlns:c16r2="http://schemas.microsoft.com/office/drawing/2015/06/chart">
            <c:ext xmlns:c16="http://schemas.microsoft.com/office/drawing/2014/chart" uri="{C3380CC4-5D6E-409C-BE32-E72D297353CC}">
              <c16:uniqueId val="{00000000-89FD-47B9-95CA-F934FD209A0A}"/>
            </c:ext>
          </c:extLst>
        </c:ser>
        <c:dLbls>
          <c:showLegendKey val="0"/>
          <c:showVal val="0"/>
          <c:showCatName val="0"/>
          <c:showSerName val="0"/>
          <c:showPercent val="0"/>
          <c:showBubbleSize val="0"/>
        </c:dLbls>
        <c:gapWidth val="150"/>
        <c:axId val="2125885904"/>
        <c:axId val="2125891888"/>
      </c:barChart>
      <c:lineChart>
        <c:grouping val="standard"/>
        <c:varyColors val="0"/>
        <c:ser>
          <c:idx val="0"/>
          <c:order val="0"/>
          <c:tx>
            <c:strRef>
              <c:f>'Baseline Scope Summary'!$V$40</c:f>
              <c:strCache>
                <c:ptCount val="1"/>
                <c:pt idx="0">
                  <c:v>Predicted Business As Usual Emissions</c:v>
                </c:pt>
              </c:strCache>
            </c:strRef>
          </c:tx>
          <c:spPr>
            <a:ln>
              <a:solidFill>
                <a:schemeClr val="accent2"/>
              </a:solidFill>
              <a:prstDash val="sysDash"/>
            </a:ln>
          </c:spPr>
          <c:marker>
            <c:symbol val="square"/>
            <c:size val="5"/>
            <c:spPr>
              <a:solidFill>
                <a:schemeClr val="accent2"/>
              </a:solidFill>
              <a:ln>
                <a:solidFill>
                  <a:schemeClr val="accent2"/>
                </a:solidFill>
              </a:ln>
            </c:spPr>
          </c:marker>
          <c:cat>
            <c:multiLvlStrRef>
              <c:f>'Baseline Scope Summary'!#REF!</c:f>
            </c:multiLvlStrRef>
          </c:cat>
          <c:val>
            <c:numRef>
              <c:f>'Baseline Scope Summary'!$W$48:$AK$48</c:f>
              <c:numCache>
                <c:formatCode>#,##0</c:formatCode>
                <c:ptCount val="15"/>
                <c:pt idx="0" formatCode="_-* #,##0_-;\-* #,##0_-;_-* &quot;-&quot;??_-;_-@_-">
                  <c:v>32524.758041919999</c:v>
                </c:pt>
                <c:pt idx="1">
                  <c:v>32636.899197257892</c:v>
                </c:pt>
                <c:pt idx="2">
                  <c:v>33536.57710258232</c:v>
                </c:pt>
                <c:pt idx="3">
                  <c:v>35402.198141385401</c:v>
                </c:pt>
                <c:pt idx="4">
                  <c:v>38161.125428959618</c:v>
                </c:pt>
                <c:pt idx="5">
                  <c:v>39073.546647390627</c:v>
                </c:pt>
                <c:pt idx="6">
                  <c:v>40886.92010245673</c:v>
                </c:pt>
                <c:pt idx="7">
                  <c:v>42474.736915536399</c:v>
                </c:pt>
                <c:pt idx="8">
                  <c:v>42989.082519144118</c:v>
                </c:pt>
                <c:pt idx="9">
                  <c:v>44374.510033465107</c:v>
                </c:pt>
                <c:pt idx="10">
                  <c:v>45759.937547786089</c:v>
                </c:pt>
                <c:pt idx="11">
                  <c:v>47145.365062107085</c:v>
                </c:pt>
                <c:pt idx="12">
                  <c:v>48530.792576428059</c:v>
                </c:pt>
                <c:pt idx="13">
                  <c:v>49916.220090749062</c:v>
                </c:pt>
                <c:pt idx="14">
                  <c:v>50639.75992231437</c:v>
                </c:pt>
              </c:numCache>
            </c:numRef>
          </c:val>
          <c:smooth val="0"/>
          <c:extLst xmlns:c16r2="http://schemas.microsoft.com/office/drawing/2015/06/chart">
            <c:ext xmlns:c16="http://schemas.microsoft.com/office/drawing/2014/chart" uri="{C3380CC4-5D6E-409C-BE32-E72D297353CC}">
              <c16:uniqueId val="{00000001-89FD-47B9-95CA-F934FD209A0A}"/>
            </c:ext>
          </c:extLst>
        </c:ser>
        <c:ser>
          <c:idx val="1"/>
          <c:order val="1"/>
          <c:tx>
            <c:strRef>
              <c:f>'Baseline Scope Summary'!$V$50</c:f>
              <c:strCache>
                <c:ptCount val="1"/>
                <c:pt idx="0">
                  <c:v>total scope 1&amp;2 target</c:v>
                </c:pt>
              </c:strCache>
            </c:strRef>
          </c:tx>
          <c:spPr>
            <a:ln>
              <a:solidFill>
                <a:schemeClr val="accent3"/>
              </a:solidFill>
              <a:prstDash val="sysDash"/>
            </a:ln>
            <a:effectLst/>
          </c:spPr>
          <c:marker>
            <c:symbol val="triangle"/>
            <c:size val="5"/>
            <c:spPr>
              <a:solidFill>
                <a:schemeClr val="accent3"/>
              </a:solidFill>
              <a:ln>
                <a:solidFill>
                  <a:schemeClr val="accent3"/>
                </a:solidFill>
              </a:ln>
              <a:effectLst/>
              <a:scene3d>
                <a:camera prst="orthographicFront"/>
                <a:lightRig rig="threePt" dir="t"/>
              </a:scene3d>
              <a:sp3d/>
            </c:spPr>
          </c:marker>
          <c:cat>
            <c:multiLvlStrRef>
              <c:f>'Baseline Scope Summary'!#REF!</c:f>
            </c:multiLvlStrRef>
          </c:cat>
          <c:val>
            <c:numRef>
              <c:f>'Baseline Scope Summary'!$W$50:$AK$50</c:f>
              <c:numCache>
                <c:formatCode>#,##0</c:formatCode>
                <c:ptCount val="15"/>
                <c:pt idx="0" formatCode="_-* #,##0_-;\-* #,##0_-;_-* &quot;-&quot;??_-;_-@_-">
                  <c:v>32524.758041919999</c:v>
                </c:pt>
                <c:pt idx="1">
                  <c:v>31525.783330632457</c:v>
                </c:pt>
                <c:pt idx="2">
                  <c:v>30526.808619344916</c:v>
                </c:pt>
                <c:pt idx="3">
                  <c:v>29527.833908057375</c:v>
                </c:pt>
                <c:pt idx="4">
                  <c:v>28528.859196769834</c:v>
                </c:pt>
                <c:pt idx="5">
                  <c:v>27529.884485482293</c:v>
                </c:pt>
                <c:pt idx="6">
                  <c:v>26530.909774194752</c:v>
                </c:pt>
                <c:pt idx="7">
                  <c:v>25531.935062907211</c:v>
                </c:pt>
                <c:pt idx="8">
                  <c:v>24532.960351619669</c:v>
                </c:pt>
                <c:pt idx="9">
                  <c:v>23533.985640332128</c:v>
                </c:pt>
                <c:pt idx="10">
                  <c:v>22535.010929044587</c:v>
                </c:pt>
                <c:pt idx="11">
                  <c:v>21536.036217757046</c:v>
                </c:pt>
                <c:pt idx="12">
                  <c:v>20537.061506469505</c:v>
                </c:pt>
                <c:pt idx="13">
                  <c:v>19538.086795181964</c:v>
                </c:pt>
                <c:pt idx="14">
                  <c:v>18539.112083894423</c:v>
                </c:pt>
              </c:numCache>
            </c:numRef>
          </c:val>
          <c:smooth val="0"/>
          <c:extLst xmlns:c16r2="http://schemas.microsoft.com/office/drawing/2015/06/chart">
            <c:ext xmlns:c16="http://schemas.microsoft.com/office/drawing/2014/chart" uri="{C3380CC4-5D6E-409C-BE32-E72D297353CC}">
              <c16:uniqueId val="{00000002-89FD-47B9-95CA-F934FD209A0A}"/>
            </c:ext>
          </c:extLst>
        </c:ser>
        <c:dLbls>
          <c:showLegendKey val="0"/>
          <c:showVal val="0"/>
          <c:showCatName val="0"/>
          <c:showSerName val="0"/>
          <c:showPercent val="0"/>
          <c:showBubbleSize val="0"/>
        </c:dLbls>
        <c:marker val="1"/>
        <c:smooth val="0"/>
        <c:axId val="2125885904"/>
        <c:axId val="2125891888"/>
      </c:lineChart>
      <c:catAx>
        <c:axId val="2125885904"/>
        <c:scaling>
          <c:orientation val="minMax"/>
        </c:scaling>
        <c:delete val="0"/>
        <c:axPos val="b"/>
        <c:numFmt formatCode="General" sourceLinked="1"/>
        <c:majorTickMark val="out"/>
        <c:minorTickMark val="none"/>
        <c:tickLblPos val="nextTo"/>
        <c:txPr>
          <a:bodyPr/>
          <a:lstStyle/>
          <a:p>
            <a:pPr>
              <a:defRPr sz="900"/>
            </a:pPr>
            <a:endParaRPr lang="en-US"/>
          </a:p>
        </c:txPr>
        <c:crossAx val="2125891888"/>
        <c:crosses val="autoZero"/>
        <c:auto val="1"/>
        <c:lblAlgn val="ctr"/>
        <c:lblOffset val="100"/>
        <c:noMultiLvlLbl val="0"/>
      </c:catAx>
      <c:valAx>
        <c:axId val="2125891888"/>
        <c:scaling>
          <c:orientation val="minMax"/>
        </c:scaling>
        <c:delete val="0"/>
        <c:axPos val="l"/>
        <c:majorGridlines/>
        <c:title>
          <c:tx>
            <c:rich>
              <a:bodyPr rot="-5400000" vert="horz"/>
              <a:lstStyle/>
              <a:p>
                <a:pPr>
                  <a:defRPr sz="1100"/>
                </a:pPr>
                <a:r>
                  <a:rPr lang="en-US" sz="1100"/>
                  <a:t>Tonnes CO2e</a:t>
                </a:r>
              </a:p>
            </c:rich>
          </c:tx>
          <c:overlay val="0"/>
        </c:title>
        <c:numFmt formatCode="_-* #,##0_-;\-* #,##0_-;_-* &quot;-&quot;??_-;_-@_-" sourceLinked="1"/>
        <c:majorTickMark val="out"/>
        <c:minorTickMark val="none"/>
        <c:tickLblPos val="nextTo"/>
        <c:crossAx val="2125885904"/>
        <c:crosses val="autoZero"/>
        <c:crossBetween val="between"/>
        <c:majorUnit val="10000"/>
      </c:valAx>
    </c:plotArea>
    <c:legend>
      <c:legendPos val="b"/>
      <c:layout>
        <c:manualLayout>
          <c:xMode val="edge"/>
          <c:yMode val="edge"/>
          <c:x val="4.9999957183166133E-2"/>
          <c:y val="0.86370052923712404"/>
          <c:w val="0.89999992759525749"/>
          <c:h val="0.11164770287251598"/>
        </c:manualLayout>
      </c:layout>
      <c:overlay val="0"/>
      <c:txPr>
        <a:bodyPr/>
        <a:lstStyle/>
        <a:p>
          <a:pPr>
            <a:defRPr sz="9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Outlining progress during 2015/16 against our target to achieve a 43% reduction in Scope 1 &amp; 2 carbon emissions by 2019/20 against a 2005/06 baseline.</Abstract>
  <CompanyAddress/>
  <CompanyPhone/>
  <CompanyFax/>
  <CompanyEmail>Sustainability@kcl.ac.uk</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AFC994DAC1C4488E571DB538D11B28" ma:contentTypeVersion="2" ma:contentTypeDescription="Create a new document." ma:contentTypeScope="" ma:versionID="f41a0bcff102e4b4a2bc2e1b58ce6d29">
  <xsd:schema xmlns:xsd="http://www.w3.org/2001/XMLSchema" xmlns:xs="http://www.w3.org/2001/XMLSchema" xmlns:p="http://schemas.microsoft.com/office/2006/metadata/properties" xmlns:ns2="a68d6ab8-c7d3-4f38-8917-3b2449b05f77" targetNamespace="http://schemas.microsoft.com/office/2006/metadata/properties" ma:root="true" ma:fieldsID="60d6384fc027b71deea0366f8d6e6360" ns2:_="">
    <xsd:import namespace="a68d6ab8-c7d3-4f38-8917-3b2449b05f7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d6ab8-c7d3-4f38-8917-3b2449b05f7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68d6ab8-c7d3-4f38-8917-3b2449b05f77">
      <UserInfo>
        <DisplayName>Shaw, Karen</DisplayName>
        <AccountId>396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7A9D63-137B-4DF2-80EE-F6B89B065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d6ab8-c7d3-4f38-8917-3b2449b05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0FAC5-D82B-4548-BC9A-931486339A44}">
  <ds:schemaRefs>
    <ds:schemaRef ds:uri="http://schemas.microsoft.com/sharepoint/v3/contenttype/forms"/>
  </ds:schemaRefs>
</ds:datastoreItem>
</file>

<file path=customXml/itemProps4.xml><?xml version="1.0" encoding="utf-8"?>
<ds:datastoreItem xmlns:ds="http://schemas.openxmlformats.org/officeDocument/2006/customXml" ds:itemID="{37368E54-7B3E-4DAE-9375-9E1A32D3FB3F}">
  <ds:schemaRefs>
    <ds:schemaRef ds:uri="http://schemas.microsoft.com/office/2006/metadata/properties"/>
    <ds:schemaRef ds:uri="http://schemas.microsoft.com/office/infopath/2007/PartnerControls"/>
    <ds:schemaRef ds:uri="a68d6ab8-c7d3-4f38-8917-3b2449b05f77"/>
  </ds:schemaRefs>
</ds:datastoreItem>
</file>

<file path=customXml/itemProps5.xml><?xml version="1.0" encoding="utf-8"?>
<ds:datastoreItem xmlns:ds="http://schemas.openxmlformats.org/officeDocument/2006/customXml" ds:itemID="{98EC3586-D28D-4AE6-81DB-469BC47A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6</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King’s College London Carbon Management Plan update</vt:lpstr>
    </vt:vector>
  </TitlesOfParts>
  <Company>IoP King's College</Company>
  <LinksUpToDate>false</LinksUpToDate>
  <CharactersWithSpaces>10802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College London Carbon Management Plan update</dc:title>
  <dc:subject>Outlining progress against our target to achieve a 43% reduction in Scope 1 &amp; 2 carbon emissions by 2019/20 against a 2005/06 baseline.</dc:subject>
  <dc:creator>King's College London</dc:creator>
  <cp:lastModifiedBy>Yearley, Thomas</cp:lastModifiedBy>
  <cp:revision>18</cp:revision>
  <dcterms:created xsi:type="dcterms:W3CDTF">2015-07-31T10:32:00Z</dcterms:created>
  <dcterms:modified xsi:type="dcterms:W3CDTF">2015-12-08T17:20:00Z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0x010100E2AFC994DAC1C4488E571DB538D11B28</vt:lpwstr>
  </property>
</Properties>
</file>