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3C" w:rsidRDefault="006E7F06" w:rsidP="00900BF0">
      <w:pPr>
        <w:spacing w:line="240" w:lineRule="auto"/>
        <w:jc w:val="both"/>
        <w:rPr>
          <w:rFonts w:ascii="Verdana" w:hAnsi="Verdana"/>
          <w:b/>
        </w:rPr>
      </w:pPr>
      <w:r w:rsidRPr="00B56C61">
        <w:rPr>
          <w:rFonts w:ascii="Verdana" w:hAnsi="Verdana"/>
          <w:b/>
        </w:rPr>
        <w:t>School of Medicine</w:t>
      </w:r>
      <w:r w:rsidR="00900BF0" w:rsidRPr="00B56C61">
        <w:rPr>
          <w:rFonts w:ascii="Verdana" w:hAnsi="Verdana"/>
          <w:b/>
        </w:rPr>
        <w:t xml:space="preserve"> - </w:t>
      </w:r>
      <w:r w:rsidR="009E06F2">
        <w:rPr>
          <w:rFonts w:ascii="Verdana" w:hAnsi="Verdana"/>
          <w:b/>
        </w:rPr>
        <w:t>Personalised Examination Provision</w:t>
      </w:r>
      <w:r w:rsidRPr="00B56C61">
        <w:rPr>
          <w:rFonts w:ascii="Verdana" w:hAnsi="Verdana"/>
          <w:b/>
        </w:rPr>
        <w:t>s</w:t>
      </w:r>
    </w:p>
    <w:p w:rsidR="00BB64B0" w:rsidRDefault="00BB64B0" w:rsidP="00900BF0">
      <w:pPr>
        <w:spacing w:line="240" w:lineRule="auto"/>
        <w:jc w:val="both"/>
        <w:rPr>
          <w:rFonts w:ascii="Verdana" w:hAnsi="Verdana"/>
          <w:color w:val="333333"/>
          <w:sz w:val="20"/>
          <w:szCs w:val="20"/>
        </w:rPr>
      </w:pPr>
    </w:p>
    <w:p w:rsidR="00C33DD0" w:rsidRPr="00B56C61" w:rsidRDefault="00900BF0" w:rsidP="00900BF0">
      <w:pPr>
        <w:spacing w:line="240" w:lineRule="auto"/>
        <w:jc w:val="both"/>
        <w:rPr>
          <w:rFonts w:ascii="Verdana" w:hAnsi="Verdana"/>
          <w:color w:val="333333"/>
          <w:sz w:val="20"/>
          <w:szCs w:val="20"/>
        </w:rPr>
      </w:pPr>
      <w:r w:rsidRPr="00B56C61">
        <w:rPr>
          <w:rFonts w:ascii="Verdana" w:hAnsi="Verdana"/>
          <w:color w:val="333333"/>
          <w:sz w:val="20"/>
          <w:szCs w:val="20"/>
        </w:rPr>
        <w:t xml:space="preserve">The </w:t>
      </w:r>
      <w:hyperlink r:id="rId6" w:history="1">
        <w:r w:rsidRPr="003D26AB">
          <w:rPr>
            <w:rStyle w:val="Hyperlink"/>
            <w:rFonts w:ascii="Verdana" w:hAnsi="Verdana"/>
            <w:sz w:val="20"/>
            <w:szCs w:val="20"/>
          </w:rPr>
          <w:t>GMC</w:t>
        </w:r>
      </w:hyperlink>
      <w:r w:rsidRPr="00B56C61">
        <w:rPr>
          <w:rFonts w:ascii="Verdana" w:hAnsi="Verdana"/>
          <w:color w:val="333333"/>
          <w:sz w:val="20"/>
          <w:szCs w:val="20"/>
        </w:rPr>
        <w:t xml:space="preserve"> is responsible for setting the standards and outcomes for undergraduate medical education</w:t>
      </w:r>
      <w:r w:rsidR="003B0D3C">
        <w:rPr>
          <w:rFonts w:ascii="Verdana" w:hAnsi="Verdana"/>
          <w:color w:val="333333"/>
          <w:sz w:val="20"/>
          <w:szCs w:val="20"/>
        </w:rPr>
        <w:t xml:space="preserve">.  The current requirements are set out in </w:t>
      </w:r>
      <w:hyperlink r:id="rId7" w:history="1">
        <w:r w:rsidR="003B0D3C" w:rsidRPr="003B0D3C">
          <w:rPr>
            <w:rStyle w:val="Hyperlink"/>
            <w:rFonts w:ascii="Verdana" w:hAnsi="Verdana"/>
            <w:i/>
            <w:sz w:val="20"/>
            <w:szCs w:val="20"/>
          </w:rPr>
          <w:t>Tomorrow’s Doctors: outcomes and standards for undergraduate medical education</w:t>
        </w:r>
      </w:hyperlink>
      <w:r w:rsidR="007170CF">
        <w:rPr>
          <w:rFonts w:ascii="Verdana" w:hAnsi="Verdana"/>
          <w:color w:val="333333"/>
          <w:sz w:val="20"/>
          <w:szCs w:val="20"/>
        </w:rPr>
        <w:t xml:space="preserve">, </w:t>
      </w:r>
      <w:r w:rsidR="003B0D3C">
        <w:rPr>
          <w:rFonts w:ascii="Verdana" w:hAnsi="Verdana"/>
          <w:color w:val="333333"/>
          <w:sz w:val="20"/>
          <w:szCs w:val="20"/>
        </w:rPr>
        <w:t>GMC, 2009.</w:t>
      </w:r>
    </w:p>
    <w:p w:rsidR="003B0D3C" w:rsidRDefault="003B0D3C" w:rsidP="003B0D3C">
      <w:pPr>
        <w:spacing w:line="240" w:lineRule="auto"/>
        <w:jc w:val="both"/>
        <w:rPr>
          <w:rFonts w:ascii="Verdana" w:hAnsi="Verdana"/>
          <w:color w:val="333333"/>
          <w:sz w:val="20"/>
          <w:szCs w:val="20"/>
        </w:rPr>
      </w:pPr>
      <w:r w:rsidRPr="003B0D3C">
        <w:rPr>
          <w:rFonts w:ascii="Verdana" w:hAnsi="Verdana"/>
          <w:i/>
          <w:color w:val="333333"/>
          <w:sz w:val="20"/>
          <w:szCs w:val="20"/>
        </w:rPr>
        <w:t>Tomorrow’s Doctors</w:t>
      </w:r>
      <w:r>
        <w:rPr>
          <w:rFonts w:ascii="Verdana" w:hAnsi="Verdana"/>
          <w:color w:val="333333"/>
          <w:sz w:val="20"/>
          <w:szCs w:val="20"/>
        </w:rPr>
        <w:t xml:space="preserve"> states that the Medical </w:t>
      </w:r>
      <w:r w:rsidR="001A5925">
        <w:rPr>
          <w:rFonts w:ascii="Verdana" w:hAnsi="Verdana"/>
          <w:color w:val="333333"/>
          <w:sz w:val="20"/>
          <w:szCs w:val="20"/>
        </w:rPr>
        <w:t>Schools are</w:t>
      </w:r>
      <w:r>
        <w:rPr>
          <w:rFonts w:ascii="Verdana" w:hAnsi="Verdana"/>
          <w:color w:val="333333"/>
          <w:sz w:val="20"/>
          <w:szCs w:val="20"/>
        </w:rPr>
        <w:t xml:space="preserve"> responsible for:</w:t>
      </w:r>
    </w:p>
    <w:p w:rsidR="003946FC" w:rsidRDefault="003B0D3C" w:rsidP="003B0D3C">
      <w:pPr>
        <w:pStyle w:val="ListParagraph"/>
        <w:numPr>
          <w:ilvl w:val="0"/>
          <w:numId w:val="2"/>
        </w:numPr>
        <w:spacing w:line="240" w:lineRule="auto"/>
        <w:jc w:val="both"/>
        <w:rPr>
          <w:rFonts w:ascii="Verdana" w:hAnsi="Verdana"/>
          <w:color w:val="333333"/>
          <w:sz w:val="20"/>
          <w:szCs w:val="20"/>
        </w:rPr>
      </w:pPr>
      <w:r>
        <w:rPr>
          <w:rFonts w:ascii="Verdana" w:hAnsi="Verdana"/>
          <w:color w:val="333333"/>
          <w:sz w:val="20"/>
          <w:szCs w:val="20"/>
        </w:rPr>
        <w:t>Protecting patients and taking appropriate steps to minimise any risk of harm to anyone as a result of the training of their medical students.</w:t>
      </w:r>
    </w:p>
    <w:p w:rsidR="003B0D3C" w:rsidRDefault="003B0D3C" w:rsidP="003B0D3C">
      <w:pPr>
        <w:pStyle w:val="ListParagraph"/>
        <w:numPr>
          <w:ilvl w:val="0"/>
          <w:numId w:val="2"/>
        </w:numPr>
        <w:spacing w:line="240" w:lineRule="auto"/>
        <w:jc w:val="both"/>
        <w:rPr>
          <w:rFonts w:ascii="Verdana" w:hAnsi="Verdana"/>
          <w:color w:val="333333"/>
          <w:sz w:val="20"/>
          <w:szCs w:val="20"/>
        </w:rPr>
      </w:pPr>
      <w:r>
        <w:rPr>
          <w:rFonts w:ascii="Verdana" w:hAnsi="Verdana"/>
          <w:color w:val="333333"/>
          <w:sz w:val="20"/>
          <w:szCs w:val="20"/>
        </w:rPr>
        <w:t xml:space="preserve">Providing a curriculum and associated assessments that meet the standards and outcomes in </w:t>
      </w:r>
      <w:r w:rsidRPr="003B0D3C">
        <w:rPr>
          <w:rFonts w:ascii="Verdana" w:hAnsi="Verdana"/>
          <w:i/>
          <w:color w:val="333333"/>
          <w:sz w:val="20"/>
          <w:szCs w:val="20"/>
        </w:rPr>
        <w:t>Tomorrow’s Doctors</w:t>
      </w:r>
      <w:r>
        <w:rPr>
          <w:rFonts w:ascii="Verdana" w:hAnsi="Verdana"/>
          <w:color w:val="333333"/>
          <w:sz w:val="20"/>
          <w:szCs w:val="20"/>
        </w:rPr>
        <w:t>.</w:t>
      </w:r>
    </w:p>
    <w:p w:rsidR="003B0D3C" w:rsidRPr="003B0D3C" w:rsidRDefault="003B0D3C" w:rsidP="003B0D3C">
      <w:pPr>
        <w:pStyle w:val="ListParagraph"/>
        <w:numPr>
          <w:ilvl w:val="0"/>
          <w:numId w:val="2"/>
        </w:numPr>
        <w:spacing w:line="240" w:lineRule="auto"/>
        <w:jc w:val="both"/>
        <w:rPr>
          <w:rFonts w:ascii="Verdana" w:hAnsi="Verdana"/>
          <w:color w:val="333333"/>
          <w:sz w:val="20"/>
          <w:szCs w:val="20"/>
        </w:rPr>
      </w:pPr>
      <w:r>
        <w:rPr>
          <w:rFonts w:ascii="Verdana" w:hAnsi="Verdana"/>
          <w:color w:val="333333"/>
          <w:sz w:val="20"/>
          <w:szCs w:val="20"/>
        </w:rPr>
        <w:t xml:space="preserve">Ensuring that only students who demonstrate the outcomes set out in </w:t>
      </w:r>
      <w:r w:rsidRPr="003B0D3C">
        <w:rPr>
          <w:rFonts w:ascii="Verdana" w:hAnsi="Verdana"/>
          <w:i/>
          <w:color w:val="333333"/>
          <w:sz w:val="20"/>
          <w:szCs w:val="20"/>
        </w:rPr>
        <w:t>Tomorrow’s Doctors</w:t>
      </w:r>
      <w:r>
        <w:rPr>
          <w:rFonts w:ascii="Verdana" w:hAnsi="Verdana"/>
          <w:color w:val="333333"/>
          <w:sz w:val="20"/>
          <w:szCs w:val="20"/>
        </w:rPr>
        <w:t xml:space="preserve"> are permitted to graduate.</w:t>
      </w:r>
    </w:p>
    <w:p w:rsidR="007170CF" w:rsidRDefault="001A5925" w:rsidP="007170CF">
      <w:pPr>
        <w:spacing w:line="240" w:lineRule="auto"/>
        <w:jc w:val="both"/>
        <w:rPr>
          <w:rFonts w:ascii="Verdana" w:hAnsi="Verdana"/>
          <w:color w:val="333333"/>
          <w:sz w:val="20"/>
          <w:szCs w:val="20"/>
        </w:rPr>
      </w:pPr>
      <w:r>
        <w:rPr>
          <w:rFonts w:ascii="Verdana" w:hAnsi="Verdana"/>
          <w:color w:val="333333"/>
          <w:sz w:val="20"/>
          <w:szCs w:val="20"/>
        </w:rPr>
        <w:t>King’s College London</w:t>
      </w:r>
      <w:r w:rsidR="006044E4">
        <w:rPr>
          <w:rFonts w:ascii="Verdana" w:hAnsi="Verdana"/>
          <w:color w:val="333333"/>
          <w:sz w:val="20"/>
          <w:szCs w:val="20"/>
        </w:rPr>
        <w:t xml:space="preserve"> School </w:t>
      </w:r>
      <w:r>
        <w:rPr>
          <w:rFonts w:ascii="Verdana" w:hAnsi="Verdana"/>
          <w:color w:val="333333"/>
          <w:sz w:val="20"/>
          <w:szCs w:val="20"/>
        </w:rPr>
        <w:t xml:space="preserve">of Medicine </w:t>
      </w:r>
      <w:r w:rsidR="006044E4">
        <w:rPr>
          <w:rFonts w:ascii="Verdana" w:hAnsi="Verdana"/>
          <w:color w:val="333333"/>
          <w:sz w:val="20"/>
          <w:szCs w:val="20"/>
        </w:rPr>
        <w:t xml:space="preserve">has a diverse student population and is supportive of any student seeking personalised examination </w:t>
      </w:r>
      <w:r w:rsidR="007170CF">
        <w:rPr>
          <w:rFonts w:ascii="Verdana" w:hAnsi="Verdana"/>
          <w:color w:val="333333"/>
          <w:sz w:val="20"/>
          <w:szCs w:val="20"/>
        </w:rPr>
        <w:t>provision (PEP)</w:t>
      </w:r>
      <w:r w:rsidR="006044E4">
        <w:rPr>
          <w:rFonts w:ascii="Verdana" w:hAnsi="Verdana"/>
          <w:color w:val="333333"/>
          <w:sz w:val="20"/>
          <w:szCs w:val="20"/>
        </w:rPr>
        <w:t>.  The PEP Committee considers a huge volume of requests each year and the School is often able to accommodate the recommen</w:t>
      </w:r>
      <w:r w:rsidR="007170CF">
        <w:rPr>
          <w:rFonts w:ascii="Verdana" w:hAnsi="Verdana"/>
          <w:color w:val="333333"/>
          <w:sz w:val="20"/>
          <w:szCs w:val="20"/>
        </w:rPr>
        <w:t>ded adjustments to a written</w:t>
      </w:r>
      <w:r w:rsidR="006044E4">
        <w:rPr>
          <w:rFonts w:ascii="Verdana" w:hAnsi="Verdana"/>
          <w:color w:val="333333"/>
          <w:sz w:val="20"/>
          <w:szCs w:val="20"/>
        </w:rPr>
        <w:t xml:space="preserve"> examination environment – the most common being extra time for students with dyslexia.  There are some instances, however, where adjustment</w:t>
      </w:r>
      <w:r w:rsidR="007170CF">
        <w:rPr>
          <w:rFonts w:ascii="Verdana" w:hAnsi="Verdana"/>
          <w:color w:val="333333"/>
          <w:sz w:val="20"/>
          <w:szCs w:val="20"/>
        </w:rPr>
        <w:t xml:space="preserve"> or further identification of a Specific Learning Difficulty (</w:t>
      </w:r>
      <w:proofErr w:type="spellStart"/>
      <w:r w:rsidR="007170CF">
        <w:rPr>
          <w:rFonts w:ascii="Verdana" w:hAnsi="Verdana"/>
          <w:color w:val="333333"/>
          <w:sz w:val="20"/>
          <w:szCs w:val="20"/>
        </w:rPr>
        <w:t>SpLD</w:t>
      </w:r>
      <w:proofErr w:type="spellEnd"/>
      <w:r w:rsidR="007170CF">
        <w:rPr>
          <w:rFonts w:ascii="Verdana" w:hAnsi="Verdana"/>
          <w:color w:val="333333"/>
          <w:sz w:val="20"/>
          <w:szCs w:val="20"/>
        </w:rPr>
        <w:t>)</w:t>
      </w:r>
      <w:r w:rsidR="006044E4">
        <w:rPr>
          <w:rFonts w:ascii="Verdana" w:hAnsi="Verdana"/>
          <w:color w:val="333333"/>
          <w:sz w:val="20"/>
          <w:szCs w:val="20"/>
        </w:rPr>
        <w:t xml:space="preserve"> is not appropriate.</w:t>
      </w:r>
      <w:r w:rsidR="007170CF" w:rsidRPr="007170CF">
        <w:rPr>
          <w:rFonts w:ascii="Verdana" w:hAnsi="Verdana"/>
          <w:color w:val="333333"/>
          <w:sz w:val="20"/>
          <w:szCs w:val="20"/>
        </w:rPr>
        <w:t xml:space="preserve"> </w:t>
      </w:r>
    </w:p>
    <w:p w:rsidR="007170CF" w:rsidRDefault="007170CF" w:rsidP="003A5F60">
      <w:pPr>
        <w:spacing w:line="240" w:lineRule="auto"/>
        <w:jc w:val="both"/>
        <w:rPr>
          <w:rFonts w:ascii="Verdana" w:hAnsi="Verdana"/>
          <w:color w:val="333333"/>
          <w:sz w:val="20"/>
          <w:szCs w:val="20"/>
        </w:rPr>
      </w:pPr>
      <w:r>
        <w:rPr>
          <w:rFonts w:ascii="Verdana" w:hAnsi="Verdana"/>
          <w:color w:val="333333"/>
          <w:sz w:val="20"/>
          <w:szCs w:val="20"/>
        </w:rPr>
        <w:t xml:space="preserve">To comply with the outcomes specified in </w:t>
      </w:r>
      <w:r>
        <w:rPr>
          <w:rFonts w:ascii="Verdana" w:hAnsi="Verdana"/>
          <w:i/>
          <w:color w:val="333333"/>
          <w:sz w:val="20"/>
          <w:szCs w:val="20"/>
        </w:rPr>
        <w:t>Tomorrow’s Doctors</w:t>
      </w:r>
      <w:r w:rsidR="003A5F60">
        <w:rPr>
          <w:rFonts w:ascii="Verdana" w:hAnsi="Verdana"/>
          <w:color w:val="333333"/>
          <w:sz w:val="20"/>
          <w:szCs w:val="20"/>
        </w:rPr>
        <w:t xml:space="preserve"> and to contribute to a robust demonstration that </w:t>
      </w:r>
      <w:r w:rsidR="009E06F2">
        <w:rPr>
          <w:rFonts w:ascii="Verdana" w:hAnsi="Verdana"/>
          <w:color w:val="333333"/>
          <w:sz w:val="20"/>
          <w:szCs w:val="20"/>
        </w:rPr>
        <w:t>patients will not be put at risk</w:t>
      </w:r>
      <w:r>
        <w:rPr>
          <w:rFonts w:ascii="Verdana" w:hAnsi="Verdana"/>
          <w:color w:val="333333"/>
          <w:sz w:val="20"/>
          <w:szCs w:val="20"/>
        </w:rPr>
        <w:t xml:space="preserve">, graduates must be able to keep accurate and legible records, communicate clearly by written and electronic means, prescribe safely and make effective use of computers and other information systems (see specifically outcomes 13a, 15c, 17c &amp; d and 19a &amp; b, </w:t>
      </w:r>
      <w:r w:rsidRPr="002D2FB2">
        <w:rPr>
          <w:rFonts w:ascii="Verdana" w:hAnsi="Verdana"/>
          <w:i/>
          <w:color w:val="333333"/>
          <w:sz w:val="20"/>
          <w:szCs w:val="20"/>
        </w:rPr>
        <w:t>Tomorrow’s Doctors</w:t>
      </w:r>
      <w:r>
        <w:rPr>
          <w:rFonts w:ascii="Verdana" w:hAnsi="Verdana"/>
          <w:i/>
          <w:color w:val="333333"/>
          <w:sz w:val="20"/>
          <w:szCs w:val="20"/>
        </w:rPr>
        <w:t>,</w:t>
      </w:r>
      <w:r>
        <w:rPr>
          <w:rFonts w:ascii="Verdana" w:hAnsi="Verdana"/>
          <w:color w:val="333333"/>
          <w:sz w:val="20"/>
          <w:szCs w:val="20"/>
        </w:rPr>
        <w:t xml:space="preserve"> 2009).  </w:t>
      </w:r>
    </w:p>
    <w:p w:rsidR="00BC164A" w:rsidRDefault="007170CF" w:rsidP="003A5F60">
      <w:pPr>
        <w:spacing w:line="240" w:lineRule="auto"/>
        <w:jc w:val="both"/>
        <w:rPr>
          <w:rFonts w:ascii="Verdana" w:hAnsi="Verdana"/>
          <w:color w:val="333333"/>
          <w:sz w:val="20"/>
          <w:szCs w:val="20"/>
        </w:rPr>
      </w:pPr>
      <w:r>
        <w:rPr>
          <w:rFonts w:ascii="Verdana" w:hAnsi="Verdana"/>
          <w:color w:val="333333"/>
          <w:sz w:val="20"/>
          <w:szCs w:val="20"/>
        </w:rPr>
        <w:t>In light of these outcomes and the importance of assessing them appropriately, t</w:t>
      </w:r>
      <w:r w:rsidR="002D2FB2">
        <w:rPr>
          <w:rFonts w:ascii="Verdana" w:hAnsi="Verdana"/>
          <w:color w:val="333333"/>
          <w:sz w:val="20"/>
          <w:szCs w:val="20"/>
        </w:rPr>
        <w:t xml:space="preserve">he School </w:t>
      </w:r>
      <w:r w:rsidR="001A5925">
        <w:rPr>
          <w:rFonts w:ascii="Verdana" w:hAnsi="Verdana"/>
          <w:color w:val="333333"/>
          <w:sz w:val="20"/>
          <w:szCs w:val="20"/>
        </w:rPr>
        <w:t xml:space="preserve">of Medicine </w:t>
      </w:r>
      <w:r w:rsidR="002D2FB2">
        <w:rPr>
          <w:rFonts w:ascii="Verdana" w:hAnsi="Verdana"/>
          <w:color w:val="333333"/>
          <w:sz w:val="20"/>
          <w:szCs w:val="20"/>
        </w:rPr>
        <w:t>does not permit the</w:t>
      </w:r>
      <w:r w:rsidR="00BC164A">
        <w:rPr>
          <w:rFonts w:ascii="Verdana" w:hAnsi="Verdana"/>
          <w:color w:val="333333"/>
          <w:sz w:val="20"/>
          <w:szCs w:val="20"/>
        </w:rPr>
        <w:t xml:space="preserve"> following adjustments to be made for students with an identified </w:t>
      </w:r>
      <w:proofErr w:type="spellStart"/>
      <w:r w:rsidR="00BC164A">
        <w:rPr>
          <w:rFonts w:ascii="Verdana" w:hAnsi="Verdana"/>
          <w:color w:val="333333"/>
          <w:sz w:val="20"/>
          <w:szCs w:val="20"/>
        </w:rPr>
        <w:t>SpLD</w:t>
      </w:r>
      <w:proofErr w:type="spellEnd"/>
      <w:r w:rsidR="00BC164A">
        <w:rPr>
          <w:rFonts w:ascii="Verdana" w:hAnsi="Verdana"/>
          <w:color w:val="333333"/>
          <w:sz w:val="20"/>
          <w:szCs w:val="20"/>
        </w:rPr>
        <w:t>:</w:t>
      </w:r>
    </w:p>
    <w:p w:rsidR="00BC164A" w:rsidRDefault="002D2FB2" w:rsidP="00BC164A">
      <w:pPr>
        <w:pStyle w:val="ListParagraph"/>
        <w:numPr>
          <w:ilvl w:val="0"/>
          <w:numId w:val="3"/>
        </w:numPr>
        <w:spacing w:line="240" w:lineRule="auto"/>
        <w:jc w:val="both"/>
        <w:rPr>
          <w:rFonts w:ascii="Verdana" w:hAnsi="Verdana"/>
          <w:color w:val="333333"/>
          <w:sz w:val="20"/>
          <w:szCs w:val="20"/>
        </w:rPr>
      </w:pPr>
      <w:r w:rsidRPr="00BC164A">
        <w:rPr>
          <w:rFonts w:ascii="Verdana" w:hAnsi="Verdana"/>
          <w:color w:val="333333"/>
          <w:sz w:val="20"/>
          <w:szCs w:val="20"/>
        </w:rPr>
        <w:t>use of readers</w:t>
      </w:r>
      <w:r w:rsidR="00BC164A">
        <w:rPr>
          <w:rFonts w:ascii="Verdana" w:hAnsi="Verdana"/>
          <w:color w:val="333333"/>
          <w:sz w:val="20"/>
          <w:szCs w:val="20"/>
        </w:rPr>
        <w:t>,</w:t>
      </w:r>
    </w:p>
    <w:p w:rsidR="00BC164A" w:rsidRDefault="00BC164A" w:rsidP="00BC164A">
      <w:pPr>
        <w:pStyle w:val="ListParagraph"/>
        <w:numPr>
          <w:ilvl w:val="0"/>
          <w:numId w:val="3"/>
        </w:numPr>
        <w:spacing w:line="240" w:lineRule="auto"/>
        <w:jc w:val="both"/>
        <w:rPr>
          <w:rFonts w:ascii="Verdana" w:hAnsi="Verdana"/>
          <w:color w:val="333333"/>
          <w:sz w:val="20"/>
          <w:szCs w:val="20"/>
        </w:rPr>
      </w:pPr>
      <w:r>
        <w:rPr>
          <w:rFonts w:ascii="Verdana" w:hAnsi="Verdana"/>
          <w:color w:val="333333"/>
          <w:sz w:val="20"/>
          <w:szCs w:val="20"/>
        </w:rPr>
        <w:t xml:space="preserve">use of </w:t>
      </w:r>
      <w:r w:rsidR="002D2FB2" w:rsidRPr="00BC164A">
        <w:rPr>
          <w:rFonts w:ascii="Verdana" w:hAnsi="Verdana"/>
          <w:color w:val="333333"/>
          <w:sz w:val="20"/>
          <w:szCs w:val="20"/>
        </w:rPr>
        <w:t>scribes</w:t>
      </w:r>
      <w:r>
        <w:rPr>
          <w:rFonts w:ascii="Verdana" w:hAnsi="Verdana"/>
          <w:color w:val="333333"/>
          <w:sz w:val="20"/>
          <w:szCs w:val="20"/>
        </w:rPr>
        <w:t>,</w:t>
      </w:r>
    </w:p>
    <w:p w:rsidR="00BC164A" w:rsidRPr="00BC164A" w:rsidRDefault="002D2FB2" w:rsidP="00BC164A">
      <w:pPr>
        <w:pStyle w:val="ListParagraph"/>
        <w:numPr>
          <w:ilvl w:val="0"/>
          <w:numId w:val="3"/>
        </w:numPr>
        <w:spacing w:line="240" w:lineRule="auto"/>
        <w:jc w:val="both"/>
        <w:rPr>
          <w:rFonts w:ascii="Verdana" w:hAnsi="Verdana"/>
          <w:color w:val="333333"/>
          <w:sz w:val="20"/>
          <w:szCs w:val="20"/>
        </w:rPr>
      </w:pPr>
      <w:proofErr w:type="gramStart"/>
      <w:r w:rsidRPr="00BC164A">
        <w:rPr>
          <w:rFonts w:ascii="Verdana" w:hAnsi="Verdana"/>
          <w:color w:val="333333"/>
          <w:sz w:val="20"/>
          <w:szCs w:val="20"/>
        </w:rPr>
        <w:t>examination</w:t>
      </w:r>
      <w:proofErr w:type="gramEnd"/>
      <w:r w:rsidRPr="00BC164A">
        <w:rPr>
          <w:rFonts w:ascii="Verdana" w:hAnsi="Verdana"/>
          <w:color w:val="333333"/>
          <w:sz w:val="20"/>
          <w:szCs w:val="20"/>
        </w:rPr>
        <w:t xml:space="preserve"> script stickers</w:t>
      </w:r>
      <w:r w:rsidR="00BC164A" w:rsidRPr="00BC164A">
        <w:rPr>
          <w:rFonts w:ascii="Verdana" w:hAnsi="Verdana"/>
          <w:color w:val="333333"/>
          <w:sz w:val="20"/>
          <w:szCs w:val="20"/>
        </w:rPr>
        <w:t xml:space="preserve"> / </w:t>
      </w:r>
      <w:r w:rsidRPr="00BC164A">
        <w:rPr>
          <w:rFonts w:ascii="Verdana" w:hAnsi="Verdana"/>
          <w:color w:val="333333"/>
          <w:sz w:val="20"/>
          <w:szCs w:val="20"/>
        </w:rPr>
        <w:t>coursework cover sheets (to inform examiners that the student submitting the work is unable to deliver the assessment in the expected manner)</w:t>
      </w:r>
      <w:r w:rsidR="00BC164A">
        <w:rPr>
          <w:rFonts w:ascii="Verdana" w:hAnsi="Verdana"/>
          <w:color w:val="333333"/>
          <w:sz w:val="20"/>
          <w:szCs w:val="20"/>
        </w:rPr>
        <w:t>.</w:t>
      </w:r>
    </w:p>
    <w:p w:rsidR="003A5F60" w:rsidRPr="00BC164A" w:rsidRDefault="003A5F60" w:rsidP="00BC164A">
      <w:pPr>
        <w:spacing w:line="240" w:lineRule="auto"/>
        <w:jc w:val="both"/>
        <w:rPr>
          <w:rFonts w:ascii="Verdana" w:hAnsi="Verdana"/>
          <w:color w:val="333333"/>
          <w:sz w:val="20"/>
          <w:szCs w:val="20"/>
        </w:rPr>
      </w:pPr>
      <w:r w:rsidRPr="00BC164A">
        <w:rPr>
          <w:rFonts w:ascii="Verdana" w:hAnsi="Verdana"/>
          <w:color w:val="333333"/>
          <w:sz w:val="20"/>
          <w:szCs w:val="20"/>
        </w:rPr>
        <w:t xml:space="preserve">The School </w:t>
      </w:r>
      <w:r w:rsidRPr="00BC164A">
        <w:rPr>
          <w:rFonts w:ascii="Verdana" w:hAnsi="Verdana" w:cs="Times-Roman"/>
          <w:sz w:val="20"/>
          <w:szCs w:val="20"/>
        </w:rPr>
        <w:t>believes that this approach provides some assurance that the King’s College London assessment system protects the public at the point of registration.</w:t>
      </w:r>
    </w:p>
    <w:p w:rsidR="00571C86" w:rsidRPr="004F67E3" w:rsidRDefault="00BB64B0" w:rsidP="003A5F60">
      <w:pPr>
        <w:spacing w:line="240" w:lineRule="auto"/>
        <w:jc w:val="both"/>
        <w:rPr>
          <w:rFonts w:ascii="Verdana" w:hAnsi="Verdana"/>
          <w:color w:val="333333"/>
          <w:sz w:val="20"/>
          <w:szCs w:val="20"/>
        </w:rPr>
      </w:pPr>
      <w:r w:rsidRPr="00BB64B0">
        <w:rPr>
          <w:rFonts w:ascii="Verdana" w:hAnsi="Verdana"/>
          <w:color w:val="333333"/>
          <w:sz w:val="20"/>
          <w:szCs w:val="20"/>
        </w:rPr>
        <w:t xml:space="preserve">The </w:t>
      </w:r>
      <w:hyperlink r:id="rId8" w:history="1">
        <w:r w:rsidRPr="00BB64B0">
          <w:rPr>
            <w:rStyle w:val="Hyperlink"/>
            <w:rFonts w:ascii="Verdana" w:hAnsi="Verdana"/>
            <w:sz w:val="20"/>
            <w:szCs w:val="20"/>
          </w:rPr>
          <w:t>School Disability Adviser</w:t>
        </w:r>
      </w:hyperlink>
      <w:r w:rsidRPr="00BB64B0">
        <w:rPr>
          <w:rFonts w:ascii="Verdana" w:hAnsi="Verdana"/>
          <w:sz w:val="20"/>
          <w:szCs w:val="20"/>
        </w:rPr>
        <w:t xml:space="preserve"> is available</w:t>
      </w:r>
      <w:r>
        <w:rPr>
          <w:rFonts w:ascii="Verdana" w:hAnsi="Verdana"/>
          <w:sz w:val="20"/>
          <w:szCs w:val="20"/>
        </w:rPr>
        <w:t xml:space="preserve"> to any undergraduate medical student who has </w:t>
      </w:r>
      <w:r w:rsidRPr="004F67E3">
        <w:rPr>
          <w:rFonts w:ascii="Verdana" w:hAnsi="Verdana"/>
          <w:sz w:val="20"/>
          <w:szCs w:val="20"/>
        </w:rPr>
        <w:t>(or feels they may have) a learning difficulty for which they</w:t>
      </w:r>
      <w:r w:rsidRPr="004F67E3">
        <w:rPr>
          <w:rFonts w:ascii="Verdana" w:hAnsi="Verdana"/>
          <w:color w:val="333333"/>
          <w:sz w:val="20"/>
          <w:szCs w:val="20"/>
        </w:rPr>
        <w:t xml:space="preserve"> would like support or advice.</w:t>
      </w:r>
    </w:p>
    <w:p w:rsidR="004F67E3" w:rsidRPr="004F67E3" w:rsidRDefault="004F67E3" w:rsidP="003A5F60">
      <w:pPr>
        <w:spacing w:line="240" w:lineRule="auto"/>
        <w:jc w:val="both"/>
        <w:rPr>
          <w:rFonts w:ascii="Verdana" w:hAnsi="Verdana"/>
          <w:color w:val="333333"/>
          <w:sz w:val="20"/>
          <w:szCs w:val="20"/>
        </w:rPr>
      </w:pPr>
      <w:r w:rsidRPr="004F67E3">
        <w:rPr>
          <w:rFonts w:ascii="Verdana" w:hAnsi="Verdana" w:cs="Tahoma"/>
          <w:color w:val="000000"/>
          <w:sz w:val="20"/>
          <w:szCs w:val="20"/>
        </w:rPr>
        <w:t>Requests for adjustments to objective, structured clinical examinations (OSCEs) – which contain elements of written assessment – are considered on a case-by-case basis and fall outside the scope of this statement.</w:t>
      </w:r>
    </w:p>
    <w:p w:rsidR="00BB64B0" w:rsidRPr="004F67E3" w:rsidRDefault="00BB64B0" w:rsidP="00900BF0">
      <w:pPr>
        <w:spacing w:line="240" w:lineRule="auto"/>
        <w:jc w:val="both"/>
        <w:rPr>
          <w:rFonts w:ascii="Verdana" w:hAnsi="Verdana"/>
          <w:color w:val="333333"/>
          <w:sz w:val="20"/>
          <w:szCs w:val="20"/>
        </w:rPr>
      </w:pPr>
    </w:p>
    <w:p w:rsidR="00BB64B0" w:rsidRPr="00BB64B0" w:rsidRDefault="00BB64B0" w:rsidP="00BB64B0">
      <w:pPr>
        <w:spacing w:after="0" w:line="240" w:lineRule="auto"/>
        <w:jc w:val="both"/>
        <w:rPr>
          <w:rFonts w:ascii="Verdana" w:hAnsi="Verdana"/>
          <w:b/>
          <w:color w:val="333333"/>
          <w:sz w:val="20"/>
          <w:szCs w:val="20"/>
        </w:rPr>
      </w:pPr>
      <w:r w:rsidRPr="00BB64B0">
        <w:rPr>
          <w:rFonts w:ascii="Verdana" w:hAnsi="Verdana"/>
          <w:b/>
          <w:color w:val="333333"/>
          <w:sz w:val="20"/>
          <w:szCs w:val="20"/>
        </w:rPr>
        <w:t>Dr Charles Twort</w:t>
      </w:r>
    </w:p>
    <w:p w:rsidR="00BB64B0" w:rsidRPr="00BB64B0" w:rsidRDefault="00BB64B0" w:rsidP="00BB64B0">
      <w:pPr>
        <w:spacing w:after="0" w:line="240" w:lineRule="auto"/>
        <w:jc w:val="both"/>
        <w:rPr>
          <w:rFonts w:ascii="Verdana" w:hAnsi="Verdana"/>
          <w:b/>
          <w:color w:val="333333"/>
          <w:sz w:val="20"/>
          <w:szCs w:val="20"/>
        </w:rPr>
      </w:pPr>
      <w:r w:rsidRPr="00BB64B0">
        <w:rPr>
          <w:rFonts w:ascii="Verdana" w:hAnsi="Verdana"/>
          <w:b/>
          <w:color w:val="333333"/>
          <w:sz w:val="20"/>
          <w:szCs w:val="20"/>
        </w:rPr>
        <w:t>Chair, School of Medicine Undergraduate Examination Board</w:t>
      </w:r>
    </w:p>
    <w:sectPr w:rsidR="00BB64B0" w:rsidRPr="00BB64B0" w:rsidSect="00327D6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9EE"/>
    <w:multiLevelType w:val="hybridMultilevel"/>
    <w:tmpl w:val="6C08EB8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463935DB"/>
    <w:multiLevelType w:val="hybridMultilevel"/>
    <w:tmpl w:val="ABBA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76525F"/>
    <w:multiLevelType w:val="hybridMultilevel"/>
    <w:tmpl w:val="B39CD99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20"/>
  <w:displayHorizontalDrawingGridEvery w:val="2"/>
  <w:displayVerticalDrawingGridEvery w:val="2"/>
  <w:characterSpacingControl w:val="doNotCompress"/>
  <w:compat/>
  <w:rsids>
    <w:rsidRoot w:val="006E7F06"/>
    <w:rsid w:val="000E3821"/>
    <w:rsid w:val="000F71BD"/>
    <w:rsid w:val="001A5925"/>
    <w:rsid w:val="002861E0"/>
    <w:rsid w:val="002C7131"/>
    <w:rsid w:val="002D2FB2"/>
    <w:rsid w:val="002E24A2"/>
    <w:rsid w:val="003134B1"/>
    <w:rsid w:val="00327D6D"/>
    <w:rsid w:val="003946FC"/>
    <w:rsid w:val="003A0D60"/>
    <w:rsid w:val="003A5F60"/>
    <w:rsid w:val="003B0D3C"/>
    <w:rsid w:val="003D26AB"/>
    <w:rsid w:val="004F67E3"/>
    <w:rsid w:val="00571C86"/>
    <w:rsid w:val="006044E4"/>
    <w:rsid w:val="00680B5E"/>
    <w:rsid w:val="006D1FE2"/>
    <w:rsid w:val="006E7F06"/>
    <w:rsid w:val="007170CF"/>
    <w:rsid w:val="0072498B"/>
    <w:rsid w:val="007432FE"/>
    <w:rsid w:val="0077785C"/>
    <w:rsid w:val="007E1B17"/>
    <w:rsid w:val="00825088"/>
    <w:rsid w:val="00835A39"/>
    <w:rsid w:val="00851B22"/>
    <w:rsid w:val="008A0A89"/>
    <w:rsid w:val="00900BF0"/>
    <w:rsid w:val="0093637D"/>
    <w:rsid w:val="00976CB7"/>
    <w:rsid w:val="009E06F2"/>
    <w:rsid w:val="00A30644"/>
    <w:rsid w:val="00AC599C"/>
    <w:rsid w:val="00B56C61"/>
    <w:rsid w:val="00B84311"/>
    <w:rsid w:val="00B874B8"/>
    <w:rsid w:val="00BB1348"/>
    <w:rsid w:val="00BB64B0"/>
    <w:rsid w:val="00BC164A"/>
    <w:rsid w:val="00BC44C0"/>
    <w:rsid w:val="00BD4232"/>
    <w:rsid w:val="00C325C1"/>
    <w:rsid w:val="00C33DD0"/>
    <w:rsid w:val="00DA1326"/>
    <w:rsid w:val="00DC7F2E"/>
    <w:rsid w:val="00E208FE"/>
    <w:rsid w:val="00EE25ED"/>
    <w:rsid w:val="00F447B5"/>
    <w:rsid w:val="00F55E95"/>
    <w:rsid w:val="00F97075"/>
    <w:rsid w:val="00FE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2FE"/>
    <w:rPr>
      <w:color w:val="0000FF" w:themeColor="hyperlink"/>
      <w:u w:val="single"/>
    </w:rPr>
  </w:style>
  <w:style w:type="character" w:styleId="CommentReference">
    <w:name w:val="annotation reference"/>
    <w:basedOn w:val="DefaultParagraphFont"/>
    <w:uiPriority w:val="99"/>
    <w:semiHidden/>
    <w:unhideWhenUsed/>
    <w:rsid w:val="006D1FE2"/>
    <w:rPr>
      <w:sz w:val="16"/>
      <w:szCs w:val="16"/>
    </w:rPr>
  </w:style>
  <w:style w:type="paragraph" w:styleId="CommentText">
    <w:name w:val="annotation text"/>
    <w:basedOn w:val="Normal"/>
    <w:link w:val="CommentTextChar"/>
    <w:uiPriority w:val="99"/>
    <w:semiHidden/>
    <w:unhideWhenUsed/>
    <w:rsid w:val="006D1FE2"/>
    <w:pPr>
      <w:spacing w:line="240" w:lineRule="auto"/>
    </w:pPr>
    <w:rPr>
      <w:sz w:val="20"/>
      <w:szCs w:val="20"/>
    </w:rPr>
  </w:style>
  <w:style w:type="character" w:customStyle="1" w:styleId="CommentTextChar">
    <w:name w:val="Comment Text Char"/>
    <w:basedOn w:val="DefaultParagraphFont"/>
    <w:link w:val="CommentText"/>
    <w:uiPriority w:val="99"/>
    <w:semiHidden/>
    <w:rsid w:val="006D1FE2"/>
    <w:rPr>
      <w:sz w:val="20"/>
      <w:szCs w:val="20"/>
    </w:rPr>
  </w:style>
  <w:style w:type="paragraph" w:styleId="CommentSubject">
    <w:name w:val="annotation subject"/>
    <w:basedOn w:val="CommentText"/>
    <w:next w:val="CommentText"/>
    <w:link w:val="CommentSubjectChar"/>
    <w:uiPriority w:val="99"/>
    <w:semiHidden/>
    <w:unhideWhenUsed/>
    <w:rsid w:val="006D1FE2"/>
    <w:rPr>
      <w:b/>
      <w:bCs/>
    </w:rPr>
  </w:style>
  <w:style w:type="character" w:customStyle="1" w:styleId="CommentSubjectChar">
    <w:name w:val="Comment Subject Char"/>
    <w:basedOn w:val="CommentTextChar"/>
    <w:link w:val="CommentSubject"/>
    <w:uiPriority w:val="99"/>
    <w:semiHidden/>
    <w:rsid w:val="006D1FE2"/>
    <w:rPr>
      <w:b/>
      <w:bCs/>
      <w:sz w:val="20"/>
      <w:szCs w:val="20"/>
    </w:rPr>
  </w:style>
  <w:style w:type="paragraph" w:styleId="BalloonText">
    <w:name w:val="Balloon Text"/>
    <w:basedOn w:val="Normal"/>
    <w:link w:val="BalloonTextChar"/>
    <w:uiPriority w:val="99"/>
    <w:semiHidden/>
    <w:unhideWhenUsed/>
    <w:rsid w:val="006D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E2"/>
    <w:rPr>
      <w:rFonts w:ascii="Tahoma" w:hAnsi="Tahoma" w:cs="Tahoma"/>
      <w:sz w:val="16"/>
      <w:szCs w:val="16"/>
    </w:rPr>
  </w:style>
  <w:style w:type="paragraph" w:styleId="ListParagraph">
    <w:name w:val="List Paragraph"/>
    <w:basedOn w:val="Normal"/>
    <w:uiPriority w:val="34"/>
    <w:qFormat/>
    <w:rsid w:val="003B0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ealth.kcl.ac.uk/sites/ltc/" TargetMode="External"/><Relationship Id="rId3" Type="http://schemas.openxmlformats.org/officeDocument/2006/relationships/styles" Target="styles.xml"/><Relationship Id="rId7" Type="http://schemas.openxmlformats.org/officeDocument/2006/relationships/hyperlink" Target="http://www.gmc-uk.org/education/undergraduate/tomorrows_docto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c-uk.or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2A13-2B13-4B0C-BCC5-84E239EB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Robinson</dc:creator>
  <cp:lastModifiedBy>graeme.holloway</cp:lastModifiedBy>
  <cp:revision>2</cp:revision>
  <cp:lastPrinted>2012-10-22T10:30:00Z</cp:lastPrinted>
  <dcterms:created xsi:type="dcterms:W3CDTF">2012-10-22T10:31:00Z</dcterms:created>
  <dcterms:modified xsi:type="dcterms:W3CDTF">2012-10-22T10:31:00Z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