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B10" w14:textId="77777777" w:rsidR="00276896" w:rsidRPr="002A64D2" w:rsidRDefault="00276896" w:rsidP="00276896">
      <w:pPr>
        <w:rPr>
          <w:b/>
        </w:rPr>
      </w:pPr>
      <w:r w:rsidRPr="002A64D2">
        <w:rPr>
          <w:b/>
        </w:rPr>
        <w:t>Teaching Awards</w:t>
      </w:r>
    </w:p>
    <w:p w14:paraId="72BE32E3" w14:textId="77777777" w:rsidR="00276896" w:rsidRDefault="00276896" w:rsidP="00276896"/>
    <w:p w14:paraId="05B312A6" w14:textId="77777777" w:rsidR="00276896" w:rsidRDefault="00276896" w:rsidP="00276896">
      <w:r>
        <w:t xml:space="preserve">These awards are designed to </w:t>
      </w:r>
      <w:proofErr w:type="spellStart"/>
      <w:r>
        <w:t>recognise</w:t>
      </w:r>
      <w:proofErr w:type="spellEnd"/>
      <w:r>
        <w:t xml:space="preserve"> some of the excellent teaching initiatives taking place across the GKT network, both from teams and individuals, and to promote the sharing of good practice and innovative ideas to facilitate student learning.  Nominations can relate to any learning activity – from a single, innovative teaching session with a small group of students, to sustained supervision and mentoring by a clinician or educator across many different year groups.</w:t>
      </w:r>
    </w:p>
    <w:p w14:paraId="41DF183C" w14:textId="77777777" w:rsidR="00276896" w:rsidRDefault="00276896" w:rsidP="00276896"/>
    <w:p w14:paraId="26B19CE6" w14:textId="77777777" w:rsidR="00276896" w:rsidRDefault="00276896" w:rsidP="00276896">
      <w:r>
        <w:t>Nominations will be reviewed by the Faculty Development subcommittee selection panel and award recipients chosen.  In addition to receiving the award itself, a recipient of the teaching awards will be invited to sit on the following year’s selection panel.</w:t>
      </w:r>
    </w:p>
    <w:p w14:paraId="06DCFB00" w14:textId="77777777" w:rsidR="00276896" w:rsidRDefault="00276896" w:rsidP="00276896"/>
    <w:p w14:paraId="6695E180" w14:textId="77777777" w:rsidR="00276896" w:rsidRDefault="00276896" w:rsidP="00276896">
      <w:r>
        <w:t xml:space="preserve">Winners will not be able to receive the same award in consecutive years </w:t>
      </w:r>
      <w:proofErr w:type="gramStart"/>
      <w:r>
        <w:t>in order to</w:t>
      </w:r>
      <w:proofErr w:type="gramEnd"/>
      <w:r>
        <w:t xml:space="preserve"> recognize a range of excellent and innovative teaching and to promote the developmental aspect of these awards.</w:t>
      </w:r>
    </w:p>
    <w:p w14:paraId="1EF8D5AD" w14:textId="77777777" w:rsidR="00276896" w:rsidRPr="00C56E2B" w:rsidRDefault="00276896" w:rsidP="00276896">
      <w:pPr>
        <w:pStyle w:val="Heading1"/>
        <w:rPr>
          <w:rFonts w:asciiTheme="minorHAnsi" w:hAnsiTheme="minorHAnsi"/>
          <w:b/>
          <w:color w:val="000000" w:themeColor="text1"/>
          <w:sz w:val="24"/>
          <w:szCs w:val="24"/>
          <w:u w:val="single"/>
        </w:rPr>
      </w:pPr>
      <w:r w:rsidRPr="00C56E2B">
        <w:rPr>
          <w:rFonts w:asciiTheme="minorHAnsi" w:hAnsiTheme="minorHAnsi"/>
          <w:b/>
          <w:color w:val="000000" w:themeColor="text1"/>
          <w:sz w:val="24"/>
          <w:szCs w:val="24"/>
          <w:u w:val="single"/>
        </w:rPr>
        <w:t>Award Categories</w:t>
      </w:r>
    </w:p>
    <w:p w14:paraId="4B2A1015" w14:textId="77777777" w:rsidR="00276896" w:rsidRDefault="00276896" w:rsidP="00276896"/>
    <w:p w14:paraId="27B7E559" w14:textId="77777777" w:rsidR="00276896" w:rsidRPr="0031664D" w:rsidRDefault="00276896" w:rsidP="00276896">
      <w:pPr>
        <w:pStyle w:val="ListParagraph"/>
        <w:numPr>
          <w:ilvl w:val="0"/>
          <w:numId w:val="1"/>
        </w:numPr>
        <w:rPr>
          <w:b/>
        </w:rPr>
      </w:pPr>
      <w:r w:rsidRPr="0031664D">
        <w:rPr>
          <w:b/>
        </w:rPr>
        <w:t>Outstanding teaching award</w:t>
      </w:r>
      <w:r>
        <w:rPr>
          <w:b/>
        </w:rPr>
        <w:t xml:space="preserve"> (</w:t>
      </w:r>
      <w:r w:rsidRPr="00106B09">
        <w:rPr>
          <w:b/>
          <w:u w:val="single"/>
        </w:rPr>
        <w:t xml:space="preserve">three </w:t>
      </w:r>
      <w:r>
        <w:rPr>
          <w:b/>
        </w:rPr>
        <w:t>will be awarded to reflect the spread of sites)</w:t>
      </w:r>
    </w:p>
    <w:p w14:paraId="54E65A80" w14:textId="77777777" w:rsidR="00276896" w:rsidRDefault="00276896" w:rsidP="00276896">
      <w:pPr>
        <w:pStyle w:val="ListParagraph"/>
        <w:numPr>
          <w:ilvl w:val="0"/>
          <w:numId w:val="1"/>
        </w:numPr>
        <w:rPr>
          <w:b/>
        </w:rPr>
      </w:pPr>
      <w:r w:rsidRPr="0031664D">
        <w:rPr>
          <w:b/>
        </w:rPr>
        <w:t xml:space="preserve">Outstanding teaching award, General </w:t>
      </w:r>
      <w:proofErr w:type="gramStart"/>
      <w:r w:rsidRPr="0031664D">
        <w:rPr>
          <w:b/>
        </w:rPr>
        <w:t>Practice</w:t>
      </w:r>
      <w:proofErr w:type="gramEnd"/>
      <w:r>
        <w:rPr>
          <w:b/>
        </w:rPr>
        <w:t xml:space="preserve"> and the Community</w:t>
      </w:r>
    </w:p>
    <w:p w14:paraId="242AD22B" w14:textId="77777777" w:rsidR="00276896" w:rsidRDefault="00276896" w:rsidP="00276896">
      <w:pPr>
        <w:pStyle w:val="ListParagraph"/>
        <w:numPr>
          <w:ilvl w:val="0"/>
          <w:numId w:val="1"/>
        </w:numPr>
        <w:rPr>
          <w:b/>
        </w:rPr>
      </w:pPr>
      <w:r>
        <w:rPr>
          <w:b/>
        </w:rPr>
        <w:t>Outstanding teaching award, IOPPN/SLAM/</w:t>
      </w:r>
      <w:proofErr w:type="spellStart"/>
      <w:r>
        <w:rPr>
          <w:b/>
        </w:rPr>
        <w:t>Oxleas</w:t>
      </w:r>
      <w:proofErr w:type="spellEnd"/>
      <w:r>
        <w:rPr>
          <w:b/>
        </w:rPr>
        <w:t>/East Kent Psychiatry</w:t>
      </w:r>
    </w:p>
    <w:p w14:paraId="19CD8428" w14:textId="77777777" w:rsidR="00276896" w:rsidRDefault="00276896" w:rsidP="00276896">
      <w:r>
        <w:t xml:space="preserve">These awards will be given for teaching (individual or team) that, has achieved excellent feedback, goes above and beyond in the teaching of King’s </w:t>
      </w:r>
      <w:proofErr w:type="gramStart"/>
      <w:r>
        <w:t>students</w:t>
      </w:r>
      <w:proofErr w:type="gramEnd"/>
      <w:r>
        <w:t xml:space="preserve"> and demonstrates, sustainability, transferability, the possibilities for expansion and an identifiable focus on teaching that promotes learning</w:t>
      </w:r>
    </w:p>
    <w:p w14:paraId="7C539F69" w14:textId="77777777" w:rsidR="00276896" w:rsidRPr="0031664D" w:rsidRDefault="00276896" w:rsidP="00276896">
      <w:pPr>
        <w:rPr>
          <w:b/>
        </w:rPr>
      </w:pPr>
    </w:p>
    <w:p w14:paraId="2F1777C8" w14:textId="77777777" w:rsidR="00276896" w:rsidRPr="002E64F8" w:rsidRDefault="00276896" w:rsidP="00276896">
      <w:pPr>
        <w:pStyle w:val="ListParagraph"/>
        <w:numPr>
          <w:ilvl w:val="0"/>
          <w:numId w:val="7"/>
        </w:numPr>
        <w:rPr>
          <w:b/>
        </w:rPr>
      </w:pPr>
      <w:r w:rsidRPr="002E64F8">
        <w:rPr>
          <w:b/>
        </w:rPr>
        <w:t>Student experience award</w:t>
      </w:r>
      <w:r w:rsidRPr="00BC7AC7">
        <w:t xml:space="preserve">. This award will be given to the Trust or Practice that has shown overall excellence in its work with King’s students through the course of the year. The committee can consider consistent excellence, engagement with the College’s work, improvement in delivery over the course of the year, and other aspects of a Trust’s work with medical students </w:t>
      </w:r>
      <w:proofErr w:type="gramStart"/>
      <w:r w:rsidRPr="00BC7AC7">
        <w:t>in order to</w:t>
      </w:r>
      <w:proofErr w:type="gramEnd"/>
      <w:r w:rsidRPr="00BC7AC7">
        <w:t xml:space="preserve"> determine this award. The recipient trust will be able to demonstrate that it provides an environment in which student learning and intellectual curiosity are actively supported, that there is support for students’ development as clinicians, that there is an environment in which ideas and practices are shared and discussed, and that the Trust provides an environment in which good teaching is fostered, supported encouraged and rewarded.</w:t>
      </w:r>
    </w:p>
    <w:p w14:paraId="325AF838" w14:textId="77777777" w:rsidR="00276896" w:rsidRPr="00BC7AC7" w:rsidRDefault="00276896" w:rsidP="00276896">
      <w:pPr>
        <w:rPr>
          <w:b/>
        </w:rPr>
      </w:pPr>
    </w:p>
    <w:p w14:paraId="66F13789" w14:textId="77777777" w:rsidR="00276896" w:rsidRDefault="00276896" w:rsidP="00276896">
      <w:pPr>
        <w:pStyle w:val="ListParagraph"/>
        <w:numPr>
          <w:ilvl w:val="0"/>
          <w:numId w:val="7"/>
        </w:numPr>
        <w:spacing w:line="252" w:lineRule="atLeast"/>
      </w:pPr>
      <w:r w:rsidRPr="002E64F8">
        <w:rPr>
          <w:b/>
        </w:rPr>
        <w:t>Administrator of the Year Award.</w:t>
      </w:r>
      <w:r>
        <w:t xml:space="preserve"> This award will be given to a site administrator or administrative colleague who has achieved excellent feedback, gone above and beyond in their service to King’s students, and enabled a consistently excellent student experience over the course of the year.  The committee may consider that support to students includes consistently offering help and guidance outside regular administrative responsibilities, creating an inclusive and welcoming atmosphere, problem-solving to enable continued and constructive student access to learning and smooth progression through their </w:t>
      </w:r>
      <w:proofErr w:type="spellStart"/>
      <w:r>
        <w:t>programme</w:t>
      </w:r>
      <w:proofErr w:type="spellEnd"/>
      <w:r>
        <w:t xml:space="preserve">.  The committee may also consider an </w:t>
      </w:r>
      <w:r>
        <w:lastRenderedPageBreak/>
        <w:t>administrator who works collegiately to provide an integrated student experience and who works actively to support those at the front line of teaching.</w:t>
      </w:r>
    </w:p>
    <w:p w14:paraId="4EEC6FA4" w14:textId="77777777" w:rsidR="00276896" w:rsidRDefault="00276896" w:rsidP="00276896">
      <w:pPr>
        <w:pStyle w:val="ListParagraph"/>
        <w:spacing w:line="252" w:lineRule="atLeast"/>
      </w:pPr>
    </w:p>
    <w:p w14:paraId="5F83BD7E" w14:textId="77777777" w:rsidR="00276896" w:rsidRPr="002E64F8" w:rsidRDefault="00276896" w:rsidP="00276896">
      <w:pPr>
        <w:pStyle w:val="ListParagraph"/>
        <w:numPr>
          <w:ilvl w:val="0"/>
          <w:numId w:val="7"/>
        </w:numPr>
        <w:rPr>
          <w:b/>
        </w:rPr>
      </w:pPr>
      <w:r w:rsidRPr="002E64F8">
        <w:rPr>
          <w:b/>
        </w:rPr>
        <w:t>Stage 1 Teaching of the Year Award</w:t>
      </w:r>
      <w:r>
        <w:t>. This award will be given to a Stage 1 teacher/team who, has achieved excellent feedback, who has gone above and beyond in their teaching of King’s students in stage 1 and demonstrates, sustainability, transferability, the possibilities for expansion and an identifiable focus on teaching that promotes learning</w:t>
      </w:r>
      <w:r w:rsidRPr="00C56E2B">
        <w:t xml:space="preserve"> </w:t>
      </w:r>
      <w:r>
        <w:t>and demonstrates, sustainability, transferability, the possibilities for expansion and an identifiable focus on teaching that promotes learning</w:t>
      </w:r>
    </w:p>
    <w:p w14:paraId="5C097F96" w14:textId="77777777" w:rsidR="00276896" w:rsidRDefault="00276896" w:rsidP="00276896">
      <w:pPr>
        <w:pStyle w:val="ListParagraph"/>
        <w:spacing w:line="252" w:lineRule="atLeast"/>
      </w:pPr>
      <w:r>
        <w:t xml:space="preserve"> </w:t>
      </w:r>
    </w:p>
    <w:p w14:paraId="73707E26" w14:textId="77777777" w:rsidR="00276896" w:rsidRPr="002E64F8" w:rsidRDefault="00276896" w:rsidP="00276896">
      <w:pPr>
        <w:pStyle w:val="ListParagraph"/>
        <w:numPr>
          <w:ilvl w:val="0"/>
          <w:numId w:val="7"/>
        </w:numPr>
        <w:rPr>
          <w:b/>
        </w:rPr>
      </w:pPr>
      <w:r w:rsidRPr="002E64F8">
        <w:rPr>
          <w:b/>
        </w:rPr>
        <w:t>Junior Clinical Teaching of the Year Award</w:t>
      </w:r>
      <w:r>
        <w:rPr>
          <w:rStyle w:val="FootnoteReference"/>
          <w:b/>
        </w:rPr>
        <w:footnoteReference w:id="1"/>
      </w:r>
      <w:r w:rsidRPr="002E64F8">
        <w:rPr>
          <w:b/>
        </w:rPr>
        <w:t>.</w:t>
      </w:r>
      <w:r>
        <w:t xml:space="preserve"> This award will be given to a junior doctor or teaching team (foundation or core trainees), senior student (medical/nursing/physician assistant/pharmacy/allied health professional) who have achieved excellent feedback, gone above and beyond in their teaching of King’s students</w:t>
      </w:r>
      <w:r w:rsidRPr="00C56E2B">
        <w:t xml:space="preserve"> </w:t>
      </w:r>
      <w:r>
        <w:t>and demonstrates, sustainability, transferability, the possibilities for expansion and an identifiable focus on teaching that promotes learning</w:t>
      </w:r>
      <w:r w:rsidRPr="002E64F8">
        <w:rPr>
          <w:b/>
        </w:rPr>
        <w:t xml:space="preserve">. </w:t>
      </w:r>
      <w:r>
        <w:t>The committee may consider clinical teachers who have introduced innovative teaching or implemented new approaches.</w:t>
      </w:r>
    </w:p>
    <w:p w14:paraId="3DA45DC8" w14:textId="77777777" w:rsidR="00276896" w:rsidRPr="0031664D" w:rsidRDefault="00276896" w:rsidP="00276896">
      <w:pPr>
        <w:pStyle w:val="ListParagraph"/>
        <w:spacing w:line="252" w:lineRule="atLeast"/>
        <w:rPr>
          <w:rFonts w:ascii="Times New Roman" w:eastAsia="Times New Roman" w:hAnsi="Times New Roman"/>
          <w:color w:val="000000"/>
          <w:lang w:eastAsia="en-GB"/>
        </w:rPr>
      </w:pPr>
    </w:p>
    <w:p w14:paraId="65AEA3BC" w14:textId="27B74B78" w:rsidR="00276896" w:rsidRPr="006B0049" w:rsidRDefault="00276896" w:rsidP="00276896">
      <w:pPr>
        <w:pStyle w:val="ListParagraph"/>
        <w:numPr>
          <w:ilvl w:val="0"/>
          <w:numId w:val="7"/>
        </w:numPr>
        <w:rPr>
          <w:b/>
        </w:rPr>
      </w:pPr>
      <w:r w:rsidRPr="002E64F8">
        <w:rPr>
          <w:b/>
        </w:rPr>
        <w:t>Senior Clinical Teaching of the Year Award</w:t>
      </w:r>
      <w:r>
        <w:rPr>
          <w:rStyle w:val="FootnoteReference"/>
          <w:b/>
        </w:rPr>
        <w:footnoteReference w:id="2"/>
      </w:r>
      <w:r w:rsidRPr="002E64F8">
        <w:rPr>
          <w:b/>
        </w:rPr>
        <w:t>.</w:t>
      </w:r>
      <w:r>
        <w:t xml:space="preserve"> This award will be given to a senior trainee, staff grade, allied health professional, consultant doctor or teaching team who have achieved excellent student feedback, gone above and beyond in their teaching of King’s students, and over the course of the year and demonstrates, sustainability, transferability, the possibilities for expansion and an identifiable focus on teaching that promotes learning</w:t>
      </w:r>
      <w:r w:rsidRPr="002E64F8">
        <w:rPr>
          <w:b/>
        </w:rPr>
        <w:t xml:space="preserve">. </w:t>
      </w:r>
      <w:r>
        <w:t xml:space="preserve">The committee may also consider clinical teachers who have implemented new, </w:t>
      </w:r>
      <w:proofErr w:type="gramStart"/>
      <w:r>
        <w:t>innovative</w:t>
      </w:r>
      <w:proofErr w:type="gramEnd"/>
      <w:r>
        <w:t xml:space="preserve"> or creative teaching approaches</w:t>
      </w:r>
    </w:p>
    <w:p w14:paraId="65F83DB5" w14:textId="77777777" w:rsidR="006B0049" w:rsidRPr="006B0049" w:rsidRDefault="006B0049" w:rsidP="006B0049">
      <w:pPr>
        <w:pStyle w:val="ListParagraph"/>
        <w:rPr>
          <w:b/>
        </w:rPr>
      </w:pPr>
    </w:p>
    <w:p w14:paraId="3DD70ED1" w14:textId="77777777" w:rsidR="006B0049" w:rsidRPr="002E64F8" w:rsidRDefault="006B0049" w:rsidP="006B0049">
      <w:pPr>
        <w:pStyle w:val="ListParagraph"/>
        <w:rPr>
          <w:b/>
        </w:rPr>
      </w:pPr>
    </w:p>
    <w:p w14:paraId="77CC5A94" w14:textId="57E0960D" w:rsidR="00276896" w:rsidRPr="006F703C" w:rsidRDefault="008F1A6B" w:rsidP="008F1A6B">
      <w:pPr>
        <w:pStyle w:val="ListParagraph"/>
        <w:numPr>
          <w:ilvl w:val="0"/>
          <w:numId w:val="7"/>
        </w:numPr>
        <w:rPr>
          <w:b/>
        </w:rPr>
      </w:pPr>
      <w:r>
        <w:rPr>
          <w:b/>
        </w:rPr>
        <w:t xml:space="preserve">Student impact award: </w:t>
      </w:r>
      <w:r>
        <w:rPr>
          <w:bCs/>
        </w:rPr>
        <w:t>This award will be given to an educator or administrator who has had a significant impact on a student’s educ</w:t>
      </w:r>
      <w:r w:rsidR="00B82DC6">
        <w:rPr>
          <w:bCs/>
        </w:rPr>
        <w:t>ational experience.  This can take the form of</w:t>
      </w:r>
      <w:r w:rsidR="00306184">
        <w:rPr>
          <w:bCs/>
        </w:rPr>
        <w:t xml:space="preserve"> excellent teaching,</w:t>
      </w:r>
      <w:r w:rsidR="00E27721">
        <w:rPr>
          <w:bCs/>
        </w:rPr>
        <w:t xml:space="preserve"> educational support, pastoral care,</w:t>
      </w:r>
      <w:r w:rsidR="00523C9A">
        <w:rPr>
          <w:bCs/>
        </w:rPr>
        <w:t xml:space="preserve"> supervision,</w:t>
      </w:r>
      <w:r w:rsidR="00306184">
        <w:rPr>
          <w:bCs/>
        </w:rPr>
        <w:t xml:space="preserve"> </w:t>
      </w:r>
      <w:r w:rsidR="00523C9A">
        <w:rPr>
          <w:bCs/>
        </w:rPr>
        <w:t>mentoring</w:t>
      </w:r>
      <w:r w:rsidR="00995AEB">
        <w:rPr>
          <w:bCs/>
        </w:rPr>
        <w:t>.  This award will be nominated by the student.</w:t>
      </w:r>
    </w:p>
    <w:p w14:paraId="5DE952CE" w14:textId="77777777" w:rsidR="006F703C" w:rsidRPr="00185B0A" w:rsidRDefault="006F703C" w:rsidP="006F703C">
      <w:pPr>
        <w:pStyle w:val="ListParagraph"/>
        <w:rPr>
          <w:b/>
        </w:rPr>
      </w:pPr>
    </w:p>
    <w:p w14:paraId="536950EB" w14:textId="41314A6B" w:rsidR="00185B0A" w:rsidRDefault="00185B0A" w:rsidP="008F1A6B">
      <w:pPr>
        <w:pStyle w:val="ListParagraph"/>
        <w:numPr>
          <w:ilvl w:val="0"/>
          <w:numId w:val="7"/>
        </w:numPr>
        <w:rPr>
          <w:bCs/>
        </w:rPr>
      </w:pPr>
      <w:r>
        <w:rPr>
          <w:b/>
        </w:rPr>
        <w:t xml:space="preserve">Educational Supervisor award: </w:t>
      </w:r>
      <w:r w:rsidRPr="006F703C">
        <w:rPr>
          <w:bCs/>
        </w:rPr>
        <w:t xml:space="preserve">This award will </w:t>
      </w:r>
      <w:r w:rsidR="007E536F">
        <w:rPr>
          <w:bCs/>
        </w:rPr>
        <w:t>be given</w:t>
      </w:r>
      <w:r w:rsidRPr="006F703C">
        <w:rPr>
          <w:bCs/>
        </w:rPr>
        <w:t xml:space="preserve"> to an educational supervisor who has gone above and beyond in supervision, providing advice, teaching and support</w:t>
      </w:r>
      <w:r w:rsidR="006F703C" w:rsidRPr="006F703C">
        <w:rPr>
          <w:bCs/>
        </w:rPr>
        <w:t xml:space="preserve"> that promotes learning.</w:t>
      </w:r>
      <w:r w:rsidR="007E536F">
        <w:rPr>
          <w:bCs/>
        </w:rPr>
        <w:t xml:space="preserve"> This award will be nominated by the student.</w:t>
      </w:r>
    </w:p>
    <w:p w14:paraId="66F1DE57" w14:textId="77777777" w:rsidR="00785477" w:rsidRPr="00785477" w:rsidRDefault="00785477" w:rsidP="00785477">
      <w:pPr>
        <w:pStyle w:val="ListParagraph"/>
        <w:rPr>
          <w:bCs/>
        </w:rPr>
      </w:pPr>
    </w:p>
    <w:p w14:paraId="036C25C6" w14:textId="53F6409E" w:rsidR="00785477" w:rsidRPr="006F703C" w:rsidRDefault="00785477" w:rsidP="008F1A6B">
      <w:pPr>
        <w:pStyle w:val="ListParagraph"/>
        <w:numPr>
          <w:ilvl w:val="0"/>
          <w:numId w:val="7"/>
        </w:numPr>
        <w:rPr>
          <w:bCs/>
        </w:rPr>
      </w:pPr>
      <w:r w:rsidRPr="005B5E5A">
        <w:rPr>
          <w:b/>
        </w:rPr>
        <w:t>Personal Tutor award</w:t>
      </w:r>
      <w:r>
        <w:rPr>
          <w:bCs/>
        </w:rPr>
        <w:t>: This award</w:t>
      </w:r>
      <w:r w:rsidR="007E536F">
        <w:rPr>
          <w:bCs/>
        </w:rPr>
        <w:t xml:space="preserve"> will be given to a personal tutor who has gone above and beyond in providing pastoral care, </w:t>
      </w:r>
      <w:proofErr w:type="gramStart"/>
      <w:r w:rsidR="007E536F">
        <w:rPr>
          <w:bCs/>
        </w:rPr>
        <w:t>support</w:t>
      </w:r>
      <w:proofErr w:type="gramEnd"/>
      <w:r w:rsidR="007E536F">
        <w:rPr>
          <w:bCs/>
        </w:rPr>
        <w:t xml:space="preserve"> and advice</w:t>
      </w:r>
      <w:r w:rsidR="002E2BBD">
        <w:rPr>
          <w:bCs/>
        </w:rPr>
        <w:t>. This award will be nominated by the student.</w:t>
      </w:r>
    </w:p>
    <w:p w14:paraId="780FCCB1" w14:textId="77777777" w:rsidR="00995AEB" w:rsidRPr="00995AEB" w:rsidRDefault="00995AEB" w:rsidP="00995AEB">
      <w:pPr>
        <w:rPr>
          <w:b/>
        </w:rPr>
      </w:pPr>
    </w:p>
    <w:p w14:paraId="4CBA3824" w14:textId="77777777" w:rsidR="00490D7D" w:rsidRDefault="00490D7D" w:rsidP="00490D7D">
      <w:pPr>
        <w:pStyle w:val="ListParagraph"/>
        <w:rPr>
          <w:rFonts w:ascii="Calibri" w:eastAsia="Times New Roman" w:hAnsi="Calibri" w:cs="Calibri"/>
          <w:b/>
          <w:bCs/>
          <w:color w:val="000000"/>
          <w:lang w:eastAsia="en-GB"/>
        </w:rPr>
      </w:pPr>
    </w:p>
    <w:p w14:paraId="1F088AA2" w14:textId="77777777" w:rsidR="00490D7D" w:rsidRPr="00490D7D" w:rsidRDefault="00490D7D" w:rsidP="00490D7D">
      <w:pPr>
        <w:pStyle w:val="ListParagraph"/>
        <w:rPr>
          <w:rFonts w:ascii="Calibri" w:eastAsia="Times New Roman" w:hAnsi="Calibri" w:cs="Calibri"/>
          <w:b/>
          <w:bCs/>
          <w:color w:val="000000"/>
          <w:lang w:eastAsia="en-GB"/>
        </w:rPr>
      </w:pPr>
    </w:p>
    <w:p w14:paraId="6BDB855D" w14:textId="7FFDF558" w:rsidR="00490D7D" w:rsidRPr="00B57FEA" w:rsidRDefault="00490D7D" w:rsidP="00490D7D">
      <w:pPr>
        <w:pStyle w:val="ListParagraph"/>
        <w:numPr>
          <w:ilvl w:val="0"/>
          <w:numId w:val="7"/>
        </w:numPr>
        <w:rPr>
          <w:rFonts w:ascii="Calibri" w:eastAsia="Times New Roman" w:hAnsi="Calibri" w:cs="Calibri"/>
          <w:b/>
          <w:bCs/>
          <w:color w:val="000000"/>
          <w:lang w:eastAsia="en-GB"/>
        </w:rPr>
      </w:pPr>
      <w:r w:rsidRPr="00B57FEA">
        <w:rPr>
          <w:rFonts w:ascii="Calibri" w:eastAsia="Times New Roman" w:hAnsi="Calibri" w:cs="Calibri"/>
          <w:b/>
          <w:bCs/>
          <w:color w:val="000000"/>
          <w:lang w:eastAsia="en-GB"/>
        </w:rPr>
        <w:t>The Professor Tim Lancaster Prize</w:t>
      </w:r>
    </w:p>
    <w:p w14:paraId="5F982437" w14:textId="610770F2" w:rsidR="00490D7D" w:rsidRPr="009746E6" w:rsidRDefault="00490D7D" w:rsidP="00490D7D">
      <w:pPr>
        <w:ind w:left="708" w:firstLine="12"/>
        <w:rPr>
          <w:rFonts w:eastAsia="Times New Roman" w:cstheme="minorHAnsi"/>
          <w:color w:val="000000"/>
          <w:lang w:eastAsia="en-GB"/>
        </w:rPr>
      </w:pPr>
      <w:r w:rsidRPr="009746E6">
        <w:rPr>
          <w:rFonts w:eastAsia="Times New Roman" w:cstheme="minorHAnsi"/>
          <w:color w:val="000000"/>
          <w:lang w:eastAsia="en-GB"/>
        </w:rPr>
        <w:t xml:space="preserve">Professor Tim Lancaster was the GKT Dean of Medical Education from 2017 to 2021 </w:t>
      </w:r>
      <w:r w:rsidRPr="009746E6">
        <w:rPr>
          <w:rFonts w:eastAsia="Times New Roman" w:cstheme="minorHAnsi"/>
          <w:lang w:eastAsia="en-GB"/>
        </w:rPr>
        <w:t xml:space="preserve">and importantly brought the changed curriculum to successful fruition, overseeing our first graduating cohorts to have been entirely through the 2020 curriculum.    A key element of his leadership style, which has had a huge impact on the culture of the </w:t>
      </w:r>
      <w:proofErr w:type="gramStart"/>
      <w:r w:rsidRPr="009746E6">
        <w:rPr>
          <w:rFonts w:eastAsia="Times New Roman" w:cstheme="minorHAnsi"/>
          <w:lang w:eastAsia="en-GB"/>
        </w:rPr>
        <w:t>School</w:t>
      </w:r>
      <w:proofErr w:type="gramEnd"/>
      <w:r w:rsidRPr="009746E6">
        <w:rPr>
          <w:rFonts w:eastAsia="Times New Roman" w:cstheme="minorHAnsi"/>
          <w:lang w:eastAsia="en-GB"/>
        </w:rPr>
        <w:t xml:space="preserve">, was his hands-on approach to teaching students at all stages of the </w:t>
      </w:r>
      <w:proofErr w:type="spellStart"/>
      <w:r w:rsidRPr="009746E6">
        <w:rPr>
          <w:rFonts w:eastAsia="Times New Roman" w:cstheme="minorHAnsi"/>
          <w:lang w:eastAsia="en-GB"/>
        </w:rPr>
        <w:t>programme</w:t>
      </w:r>
      <w:proofErr w:type="spellEnd"/>
      <w:r w:rsidRPr="009746E6">
        <w:rPr>
          <w:rFonts w:eastAsia="Times New Roman" w:cstheme="minorHAnsi"/>
          <w:lang w:eastAsia="en-GB"/>
        </w:rPr>
        <w:t xml:space="preserve">, with his famous </w:t>
      </w:r>
      <w:r w:rsidRPr="009746E6">
        <w:rPr>
          <w:rFonts w:eastAsia="Times New Roman" w:cstheme="minorHAnsi"/>
          <w:color w:val="000000"/>
          <w:lang w:eastAsia="en-GB"/>
        </w:rPr>
        <w:t>small group and webinar sessions. Students speak highly of his incredible knowledge base but also his finesse as a teacher and importantly his humility when dealing with students of all abilities.</w:t>
      </w:r>
    </w:p>
    <w:p w14:paraId="6AB238DB" w14:textId="77777777" w:rsidR="00490D7D" w:rsidRPr="00B57FEA" w:rsidRDefault="00490D7D" w:rsidP="00490D7D">
      <w:pPr>
        <w:ind w:left="708"/>
        <w:rPr>
          <w:rFonts w:eastAsia="Times New Roman" w:cstheme="minorHAnsi"/>
          <w:color w:val="000000"/>
          <w:lang w:eastAsia="en-GB"/>
        </w:rPr>
      </w:pPr>
      <w:r w:rsidRPr="00B57FEA">
        <w:rPr>
          <w:rFonts w:eastAsia="Times New Roman" w:cstheme="minorHAnsi"/>
          <w:color w:val="000000"/>
          <w:lang w:eastAsia="en-GB"/>
        </w:rPr>
        <w:t xml:space="preserve">The Professor Tim Lancaster prize will be awarded annually at each clinical teaching site for the member of education faculty that your team feel has gone above and beyond for students </w:t>
      </w:r>
      <w:proofErr w:type="gramStart"/>
      <w:r w:rsidRPr="00B57FEA">
        <w:rPr>
          <w:rFonts w:eastAsia="Times New Roman" w:cstheme="minorHAnsi"/>
          <w:color w:val="000000"/>
          <w:lang w:eastAsia="en-GB"/>
        </w:rPr>
        <w:t>In</w:t>
      </w:r>
      <w:proofErr w:type="gramEnd"/>
      <w:r w:rsidRPr="00B57FEA">
        <w:rPr>
          <w:rFonts w:eastAsia="Times New Roman" w:cstheme="minorHAnsi"/>
          <w:color w:val="000000"/>
          <w:lang w:eastAsia="en-GB"/>
        </w:rPr>
        <w:t xml:space="preserve"> that academic year. This may well be a junior or senior member of staff, it may be clinical or non-clinical colleagues but ultimately should be someone that has been lauded by both students and faculty as always having the students at the </w:t>
      </w:r>
      <w:proofErr w:type="spellStart"/>
      <w:r w:rsidRPr="00B57FEA">
        <w:rPr>
          <w:rFonts w:eastAsia="Times New Roman" w:cstheme="minorHAnsi"/>
          <w:color w:val="000000"/>
          <w:lang w:eastAsia="en-GB"/>
        </w:rPr>
        <w:t>centre</w:t>
      </w:r>
      <w:proofErr w:type="spellEnd"/>
      <w:r w:rsidRPr="00B57FEA">
        <w:rPr>
          <w:rFonts w:eastAsia="Times New Roman" w:cstheme="minorHAnsi"/>
          <w:color w:val="000000"/>
          <w:lang w:eastAsia="en-GB"/>
        </w:rPr>
        <w:t xml:space="preserve"> of their thoughts</w:t>
      </w:r>
      <w:r>
        <w:rPr>
          <w:rFonts w:eastAsia="Times New Roman" w:cstheme="minorHAnsi"/>
          <w:color w:val="000000"/>
          <w:lang w:eastAsia="en-GB"/>
        </w:rPr>
        <w:t>,</w:t>
      </w:r>
      <w:r w:rsidRPr="00B57FEA">
        <w:rPr>
          <w:rFonts w:eastAsia="Times New Roman" w:cstheme="minorHAnsi"/>
          <w:color w:val="000000"/>
          <w:lang w:eastAsia="en-GB"/>
        </w:rPr>
        <w:t xml:space="preserve"> educationally and pastorally.</w:t>
      </w:r>
    </w:p>
    <w:p w14:paraId="523C1275" w14:textId="77777777" w:rsidR="00490D7D" w:rsidRPr="006B0049" w:rsidRDefault="00490D7D" w:rsidP="00490D7D">
      <w:pPr>
        <w:pStyle w:val="ListParagraph"/>
        <w:rPr>
          <w:b/>
        </w:rPr>
      </w:pPr>
    </w:p>
    <w:p w14:paraId="75BBE68F" w14:textId="77777777" w:rsidR="00276896" w:rsidRDefault="00276896" w:rsidP="00276896">
      <w:pPr>
        <w:pStyle w:val="ListParagraph"/>
      </w:pPr>
    </w:p>
    <w:p w14:paraId="4488F376" w14:textId="77777777" w:rsidR="00276896" w:rsidRPr="002E64F8" w:rsidRDefault="00276896" w:rsidP="00276896">
      <w:pPr>
        <w:rPr>
          <w:b/>
          <w:u w:val="single"/>
        </w:rPr>
      </w:pPr>
      <w:r w:rsidRPr="002E64F8">
        <w:rPr>
          <w:b/>
          <w:u w:val="single"/>
        </w:rPr>
        <w:t>Nomination Process</w:t>
      </w:r>
    </w:p>
    <w:p w14:paraId="54F0C4EA" w14:textId="77777777" w:rsidR="00276896" w:rsidRDefault="00276896" w:rsidP="00276896">
      <w:pPr>
        <w:rPr>
          <w:b/>
        </w:rPr>
      </w:pPr>
    </w:p>
    <w:p w14:paraId="33BF370D" w14:textId="7E980CB1" w:rsidR="00276896" w:rsidRDefault="00276896" w:rsidP="00276896">
      <w:pPr>
        <w:pStyle w:val="ListParagraph"/>
        <w:numPr>
          <w:ilvl w:val="0"/>
          <w:numId w:val="3"/>
        </w:numPr>
      </w:pPr>
      <w:r>
        <w:t>Nominations will in the first instance be sought at each of the sites or Community or Centre (depending on the award) for the outstanding teachers/teaching teams in each category</w:t>
      </w:r>
    </w:p>
    <w:p w14:paraId="49AFB2BB" w14:textId="4387EA62" w:rsidR="00276896" w:rsidRDefault="00276896" w:rsidP="00276896">
      <w:pPr>
        <w:pStyle w:val="ListParagraph"/>
        <w:numPr>
          <w:ilvl w:val="0"/>
          <w:numId w:val="3"/>
        </w:numPr>
      </w:pPr>
      <w:r>
        <w:t xml:space="preserve">Nominations should be based on the form </w:t>
      </w:r>
      <w:proofErr w:type="gramStart"/>
      <w:r>
        <w:t>attached, and</w:t>
      </w:r>
      <w:proofErr w:type="gramEnd"/>
      <w:r>
        <w:t xml:space="preserve"> forwarded to the </w:t>
      </w:r>
      <w:r w:rsidR="0036484B">
        <w:t>Stage Heads</w:t>
      </w:r>
      <w:r>
        <w:t xml:space="preserve"> who will ratify and pass on to the F</w:t>
      </w:r>
      <w:r w:rsidR="00EA20F5">
        <w:t xml:space="preserve">aculty Development </w:t>
      </w:r>
      <w:proofErr w:type="spellStart"/>
      <w:r w:rsidR="00EA20F5">
        <w:t>sub committee</w:t>
      </w:r>
      <w:proofErr w:type="spellEnd"/>
      <w:r>
        <w:t xml:space="preserve">. </w:t>
      </w:r>
    </w:p>
    <w:p w14:paraId="746894EF" w14:textId="77777777" w:rsidR="00276896" w:rsidRDefault="00276896" w:rsidP="00276896">
      <w:pPr>
        <w:pStyle w:val="ListParagraph"/>
        <w:numPr>
          <w:ilvl w:val="0"/>
          <w:numId w:val="3"/>
        </w:numPr>
      </w:pPr>
      <w:r>
        <w:t>Nominations must include a description of the teaching that is being commended and explanation of why it is deserving of an award.  Teams or individuals may be nominated.  Nominations that only include “dedicated”, “hard-working” or “gets consistently good feedback” will not be considered, as this applies to so many of our teachers, and the award is in recognition of teaching over and above what would be expected of all teachers.</w:t>
      </w:r>
    </w:p>
    <w:p w14:paraId="6B268F54" w14:textId="77777777" w:rsidR="00276896" w:rsidRPr="00633FB7" w:rsidRDefault="00276896" w:rsidP="00276896">
      <w:pPr>
        <w:rPr>
          <w:b/>
          <w:lang w:val="en-GB"/>
        </w:rPr>
      </w:pPr>
    </w:p>
    <w:p w14:paraId="4155891E" w14:textId="77777777" w:rsidR="00276896" w:rsidRPr="002E64F8" w:rsidRDefault="00276896" w:rsidP="00276896">
      <w:pPr>
        <w:rPr>
          <w:b/>
          <w:u w:val="single"/>
          <w:lang w:val="en-GB"/>
        </w:rPr>
      </w:pPr>
      <w:r w:rsidRPr="002E64F8">
        <w:rPr>
          <w:b/>
          <w:u w:val="single"/>
          <w:lang w:val="en-GB"/>
        </w:rPr>
        <w:t>Selection process</w:t>
      </w:r>
    </w:p>
    <w:p w14:paraId="097A2AA1" w14:textId="77777777" w:rsidR="00276896" w:rsidRPr="000C039B" w:rsidRDefault="00276896" w:rsidP="00276896">
      <w:pPr>
        <w:pStyle w:val="ListParagraph"/>
        <w:numPr>
          <w:ilvl w:val="0"/>
          <w:numId w:val="4"/>
        </w:numPr>
        <w:rPr>
          <w:rFonts w:ascii="Calibri" w:hAnsi="Calibri" w:cs="Times New Roman"/>
          <w:color w:val="000000"/>
        </w:rPr>
      </w:pPr>
      <w:r w:rsidRPr="000C039B">
        <w:rPr>
          <w:rFonts w:ascii="Calibri" w:hAnsi="Calibri" w:cs="Times New Roman"/>
          <w:color w:val="000000"/>
        </w:rPr>
        <w:t>The DUMEs</w:t>
      </w:r>
      <w:r>
        <w:rPr>
          <w:rFonts w:ascii="Calibri" w:hAnsi="Calibri" w:cs="Times New Roman"/>
          <w:color w:val="000000"/>
        </w:rPr>
        <w:t>/Heads of Stage</w:t>
      </w:r>
      <w:r w:rsidRPr="000C039B">
        <w:rPr>
          <w:rFonts w:ascii="Calibri" w:hAnsi="Calibri" w:cs="Times New Roman"/>
          <w:color w:val="000000"/>
        </w:rPr>
        <w:t xml:space="preserve"> will use EOPs, student sugg</w:t>
      </w:r>
      <w:r>
        <w:rPr>
          <w:rFonts w:ascii="Calibri" w:hAnsi="Calibri" w:cs="Times New Roman"/>
          <w:color w:val="000000"/>
        </w:rPr>
        <w:t>e</w:t>
      </w:r>
      <w:r w:rsidRPr="000C039B">
        <w:rPr>
          <w:rFonts w:ascii="Calibri" w:hAnsi="Calibri" w:cs="Times New Roman"/>
          <w:color w:val="000000"/>
        </w:rPr>
        <w:t xml:space="preserve">stions and their local knowledge to nominate educators for the above awards. </w:t>
      </w:r>
      <w:r>
        <w:rPr>
          <w:rFonts w:ascii="Calibri" w:eastAsia="Times New Roman" w:hAnsi="Calibri" w:cs="Times New Roman"/>
          <w:color w:val="000000"/>
        </w:rPr>
        <w:t>Nominators</w:t>
      </w:r>
      <w:r w:rsidRPr="000C039B">
        <w:rPr>
          <w:rFonts w:ascii="Calibri" w:eastAsia="Times New Roman" w:hAnsi="Calibri" w:cs="Times New Roman"/>
          <w:color w:val="000000"/>
        </w:rPr>
        <w:t xml:space="preserve"> will be asked to support their nominations with evidence to support each case as outlined above. There is no limit placed on the number of nominations that could be proposed for each category.</w:t>
      </w:r>
    </w:p>
    <w:p w14:paraId="2EC21717" w14:textId="6AC2219C" w:rsidR="00276896" w:rsidRDefault="00276896" w:rsidP="00276896">
      <w:pPr>
        <w:pStyle w:val="ListParagraph"/>
        <w:numPr>
          <w:ilvl w:val="0"/>
          <w:numId w:val="4"/>
        </w:numPr>
        <w:rPr>
          <w:rFonts w:ascii="Calibri" w:hAnsi="Calibri" w:cs="Times New Roman"/>
          <w:color w:val="000000"/>
        </w:rPr>
      </w:pPr>
      <w:r w:rsidRPr="000C039B">
        <w:rPr>
          <w:rFonts w:ascii="Calibri" w:hAnsi="Calibri" w:cs="Times New Roman"/>
          <w:color w:val="000000"/>
        </w:rPr>
        <w:t xml:space="preserve">EOPS September data for each </w:t>
      </w:r>
      <w:r w:rsidR="003619B4">
        <w:rPr>
          <w:rFonts w:ascii="Calibri" w:hAnsi="Calibri" w:cs="Times New Roman"/>
          <w:color w:val="000000"/>
        </w:rPr>
        <w:t>site</w:t>
      </w:r>
      <w:r w:rsidRPr="000C039B">
        <w:rPr>
          <w:rFonts w:ascii="Calibri" w:hAnsi="Calibri" w:cs="Times New Roman"/>
          <w:color w:val="000000"/>
        </w:rPr>
        <w:t xml:space="preserve"> for the previous year will be considered so that the information is not too old. In the data there is a column for students to nominate teachers.</w:t>
      </w:r>
    </w:p>
    <w:p w14:paraId="66FC9476" w14:textId="34905329" w:rsidR="00276896" w:rsidRPr="000C039B" w:rsidRDefault="00276896" w:rsidP="00276896">
      <w:pPr>
        <w:pStyle w:val="ListParagraph"/>
        <w:numPr>
          <w:ilvl w:val="0"/>
          <w:numId w:val="4"/>
        </w:numPr>
        <w:rPr>
          <w:rFonts w:ascii="Calibri" w:hAnsi="Calibri" w:cs="Times New Roman"/>
          <w:color w:val="000000"/>
        </w:rPr>
      </w:pPr>
      <w:proofErr w:type="spellStart"/>
      <w:r w:rsidRPr="000C039B">
        <w:rPr>
          <w:rFonts w:ascii="Calibri" w:hAnsi="Calibri" w:cs="Times New Roman"/>
          <w:color w:val="000000"/>
        </w:rPr>
        <w:t>Summarised</w:t>
      </w:r>
      <w:proofErr w:type="spellEnd"/>
      <w:r w:rsidRPr="000C039B">
        <w:rPr>
          <w:rFonts w:ascii="Calibri" w:hAnsi="Calibri" w:cs="Times New Roman"/>
          <w:color w:val="000000"/>
        </w:rPr>
        <w:t xml:space="preserve"> EOPS data will be sent to each</w:t>
      </w:r>
      <w:r>
        <w:rPr>
          <w:rFonts w:ascii="Calibri" w:hAnsi="Calibri" w:cs="Times New Roman"/>
          <w:color w:val="000000"/>
        </w:rPr>
        <w:t xml:space="preserve"> site in cases where there is no</w:t>
      </w:r>
      <w:r w:rsidRPr="000C039B">
        <w:rPr>
          <w:rFonts w:ascii="Calibri" w:hAnsi="Calibri" w:cs="Times New Roman"/>
          <w:color w:val="000000"/>
        </w:rPr>
        <w:t xml:space="preserve"> </w:t>
      </w:r>
      <w:r>
        <w:rPr>
          <w:rFonts w:ascii="Calibri" w:hAnsi="Calibri" w:cs="Times New Roman"/>
          <w:color w:val="000000"/>
        </w:rPr>
        <w:t>list</w:t>
      </w:r>
    </w:p>
    <w:p w14:paraId="02D85B2C" w14:textId="4A91D117" w:rsidR="00276896" w:rsidRDefault="00276896" w:rsidP="00276896">
      <w:pPr>
        <w:pStyle w:val="ListParagraph"/>
        <w:numPr>
          <w:ilvl w:val="0"/>
          <w:numId w:val="4"/>
        </w:numPr>
        <w:rPr>
          <w:rFonts w:ascii="Calibri" w:hAnsi="Calibri" w:cs="Times New Roman"/>
          <w:color w:val="000000"/>
        </w:rPr>
      </w:pPr>
      <w:r>
        <w:rPr>
          <w:rFonts w:ascii="Calibri" w:hAnsi="Calibri" w:cs="Times New Roman"/>
          <w:color w:val="000000"/>
        </w:rPr>
        <w:t xml:space="preserve">The </w:t>
      </w:r>
      <w:r w:rsidR="003619B4">
        <w:rPr>
          <w:rFonts w:ascii="Calibri" w:hAnsi="Calibri" w:cs="Times New Roman"/>
          <w:color w:val="000000"/>
        </w:rPr>
        <w:t>Heads of Stage</w:t>
      </w:r>
      <w:r>
        <w:rPr>
          <w:rFonts w:ascii="Calibri" w:hAnsi="Calibri" w:cs="Times New Roman"/>
          <w:color w:val="000000"/>
        </w:rPr>
        <w:t xml:space="preserve"> will then send the nominations</w:t>
      </w:r>
      <w:r w:rsidRPr="000C039B">
        <w:rPr>
          <w:rFonts w:ascii="Calibri" w:hAnsi="Calibri" w:cs="Times New Roman"/>
          <w:color w:val="000000"/>
        </w:rPr>
        <w:t xml:space="preserve"> </w:t>
      </w:r>
      <w:r>
        <w:rPr>
          <w:rFonts w:ascii="Calibri" w:hAnsi="Calibri" w:cs="Times New Roman"/>
          <w:color w:val="000000"/>
        </w:rPr>
        <w:t xml:space="preserve">to the Faculty Development administrator </w:t>
      </w:r>
    </w:p>
    <w:p w14:paraId="412E5477" w14:textId="77777777" w:rsidR="00276896" w:rsidRPr="002E64F8" w:rsidRDefault="00276896" w:rsidP="00276896">
      <w:pPr>
        <w:pStyle w:val="ListParagraph"/>
        <w:numPr>
          <w:ilvl w:val="0"/>
          <w:numId w:val="4"/>
        </w:numPr>
        <w:rPr>
          <w:rFonts w:ascii="Calibri" w:hAnsi="Calibri" w:cs="Times New Roman"/>
          <w:color w:val="000000"/>
        </w:rPr>
      </w:pPr>
      <w:r>
        <w:rPr>
          <w:rFonts w:ascii="Calibri" w:eastAsia="Times New Roman" w:hAnsi="Calibri" w:cs="Times New Roman"/>
          <w:color w:val="000000"/>
        </w:rPr>
        <w:t>The Faculty Development subcommittee (or a panel thereof) with then review the nominations to determine the winners of each category</w:t>
      </w:r>
    </w:p>
    <w:p w14:paraId="296B3CE4" w14:textId="77777777" w:rsidR="00276896" w:rsidRDefault="00276896" w:rsidP="00276896">
      <w:pPr>
        <w:pStyle w:val="ListParagraph"/>
        <w:numPr>
          <w:ilvl w:val="0"/>
          <w:numId w:val="4"/>
        </w:numPr>
      </w:pPr>
      <w:r>
        <w:lastRenderedPageBreak/>
        <w:t xml:space="preserve">Nominations will be reviewed by the Faculty Development subcommittee selection panel and award recipients chosen. </w:t>
      </w:r>
    </w:p>
    <w:p w14:paraId="120BB146" w14:textId="0CC5BB36" w:rsidR="00276896" w:rsidRDefault="00276896" w:rsidP="00276896">
      <w:pPr>
        <w:pStyle w:val="ListParagraph"/>
        <w:numPr>
          <w:ilvl w:val="0"/>
          <w:numId w:val="4"/>
        </w:numPr>
      </w:pPr>
      <w:r>
        <w:t>The selection panel will choose the</w:t>
      </w:r>
      <w:r w:rsidR="00C109B3">
        <w:t xml:space="preserve"> award</w:t>
      </w:r>
      <w:r>
        <w:t xml:space="preserve"> winners from the pool of nominations</w:t>
      </w:r>
      <w:r w:rsidRPr="00FF1437">
        <w:t xml:space="preserve">.  </w:t>
      </w:r>
    </w:p>
    <w:p w14:paraId="659C97FA" w14:textId="77777777" w:rsidR="00276896" w:rsidRPr="00FF1437" w:rsidRDefault="00276896" w:rsidP="00276896">
      <w:pPr>
        <w:pStyle w:val="ListParagraph"/>
        <w:numPr>
          <w:ilvl w:val="0"/>
          <w:numId w:val="4"/>
        </w:numPr>
      </w:pPr>
      <w:r w:rsidRPr="00FF1437">
        <w:t xml:space="preserve">In addition to receiving the award itself, recipients of teaching awards will also be invited </w:t>
      </w:r>
      <w:r>
        <w:t>present at the Conference the following year</w:t>
      </w:r>
      <w:r w:rsidRPr="00FF1437">
        <w:t>.</w:t>
      </w:r>
    </w:p>
    <w:p w14:paraId="437F51F3" w14:textId="77777777" w:rsidR="00276896" w:rsidRPr="000C039B" w:rsidRDefault="00276896" w:rsidP="00276896">
      <w:pPr>
        <w:pStyle w:val="ListParagraph"/>
        <w:rPr>
          <w:rFonts w:ascii="Calibri" w:hAnsi="Calibri" w:cs="Times New Roman"/>
          <w:color w:val="000000"/>
        </w:rPr>
      </w:pPr>
    </w:p>
    <w:p w14:paraId="0677A1FC" w14:textId="77777777" w:rsidR="00276896" w:rsidRPr="00152C9A" w:rsidRDefault="00276896" w:rsidP="00276896">
      <w:pPr>
        <w:rPr>
          <w:rFonts w:ascii="Calibri" w:hAnsi="Calibri" w:cs="Times New Roman"/>
          <w:color w:val="000000"/>
        </w:rPr>
      </w:pPr>
    </w:p>
    <w:p w14:paraId="368DF7B2" w14:textId="77777777" w:rsidR="00276896" w:rsidRDefault="00276896" w:rsidP="00276896">
      <w:r>
        <w:t xml:space="preserve">Aspects that the committee will consider in their deliberations include: </w:t>
      </w:r>
    </w:p>
    <w:p w14:paraId="7F643583"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rPr>
          <w:rFonts w:eastAsia="Times New Roman"/>
          <w:lang w:eastAsia="en-GB"/>
        </w:rPr>
      </w:pPr>
      <w:r>
        <w:rPr>
          <w:rFonts w:eastAsia="Times New Roman"/>
          <w:lang w:eastAsia="en-GB"/>
        </w:rPr>
        <w:t>C</w:t>
      </w:r>
      <w:r w:rsidRPr="00D8680B">
        <w:rPr>
          <w:rFonts w:eastAsia="Times New Roman"/>
          <w:lang w:eastAsia="en-GB"/>
        </w:rPr>
        <w:t xml:space="preserve">ommitment to creating an inclusive </w:t>
      </w:r>
      <w:proofErr w:type="gramStart"/>
      <w:r w:rsidRPr="00D8680B">
        <w:rPr>
          <w:rFonts w:eastAsia="Times New Roman"/>
          <w:lang w:eastAsia="en-GB"/>
        </w:rPr>
        <w:t>environment;</w:t>
      </w:r>
      <w:proofErr w:type="gramEnd"/>
      <w:r w:rsidRPr="00D8680B">
        <w:rPr>
          <w:rFonts w:eastAsia="Times New Roman"/>
          <w:lang w:eastAsia="en-GB"/>
        </w:rPr>
        <w:t xml:space="preserve"> </w:t>
      </w:r>
    </w:p>
    <w:p w14:paraId="4265D83A"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t>M</w:t>
      </w:r>
      <w:r w:rsidRPr="00D8680B">
        <w:t xml:space="preserve">otivating and engaging </w:t>
      </w:r>
      <w:proofErr w:type="gramStart"/>
      <w:r w:rsidRPr="00D8680B">
        <w:t>students;</w:t>
      </w:r>
      <w:proofErr w:type="gramEnd"/>
      <w:r w:rsidRPr="00D8680B">
        <w:rPr>
          <w:rStyle w:val="Heading3Char"/>
          <w:rFonts w:ascii="Calibri" w:eastAsia="Calibri" w:hAnsi="Calibri" w:cs="Calibri"/>
          <w:sz w:val="22"/>
          <w:szCs w:val="22"/>
        </w:rPr>
        <w:t xml:space="preserve"> </w:t>
      </w:r>
    </w:p>
    <w:p w14:paraId="582509CD"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t>A</w:t>
      </w:r>
      <w:r w:rsidRPr="00D8680B">
        <w:t xml:space="preserve">ctively engaging with and responding to student and peer </w:t>
      </w:r>
      <w:proofErr w:type="gramStart"/>
      <w:r w:rsidRPr="00D8680B">
        <w:t>feedback;</w:t>
      </w:r>
      <w:proofErr w:type="gramEnd"/>
    </w:p>
    <w:p w14:paraId="1FF5EA6C"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D8680B">
        <w:t xml:space="preserve"> </w:t>
      </w:r>
      <w:r w:rsidRPr="00B97B1E">
        <w:t xml:space="preserve">Responding creatively to the challenges posed by the environment to provide opportunities for </w:t>
      </w:r>
      <w:proofErr w:type="gramStart"/>
      <w:r w:rsidRPr="00B97B1E">
        <w:t>learning;</w:t>
      </w:r>
      <w:proofErr w:type="gramEnd"/>
    </w:p>
    <w:p w14:paraId="382EE8C2"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B97B1E">
        <w:t xml:space="preserve"> Working with colleagues to enable student development and </w:t>
      </w:r>
      <w:proofErr w:type="gramStart"/>
      <w:r w:rsidRPr="00B97B1E">
        <w:t>learning;</w:t>
      </w:r>
      <w:proofErr w:type="gramEnd"/>
      <w:r w:rsidRPr="00B97B1E">
        <w:t xml:space="preserve"> </w:t>
      </w:r>
    </w:p>
    <w:p w14:paraId="7AA424CD"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B97B1E">
        <w:t xml:space="preserve">Innovation and </w:t>
      </w:r>
      <w:proofErr w:type="gramStart"/>
      <w:r w:rsidRPr="00B97B1E">
        <w:t>creativity  in</w:t>
      </w:r>
      <w:proofErr w:type="gramEnd"/>
      <w:r w:rsidRPr="00B97B1E">
        <w:t xml:space="preserve"> aspects of teaching such as feedback and  organising teaching; </w:t>
      </w:r>
    </w:p>
    <w:p w14:paraId="0624D3DF"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B97B1E">
        <w:t xml:space="preserve">Providing feedback that is integral to supporting student development and learning. </w:t>
      </w:r>
    </w:p>
    <w:p w14:paraId="4DE0CE2E"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D8680B">
        <w:t xml:space="preserve">Planning and delivery including ability to inspire and motivate; respect and care for students as </w:t>
      </w:r>
      <w:proofErr w:type="gramStart"/>
      <w:r w:rsidRPr="00D8680B">
        <w:t>individuals;</w:t>
      </w:r>
      <w:proofErr w:type="gramEnd"/>
      <w:r w:rsidRPr="00D8680B">
        <w:t xml:space="preserve"> </w:t>
      </w:r>
    </w:p>
    <w:p w14:paraId="44528F15"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D8680B">
        <w:t>Feedback and Assessment for learning that is aligned, clear, fair and promotes learning</w:t>
      </w:r>
    </w:p>
    <w:p w14:paraId="2E47E056"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D8680B">
        <w:t xml:space="preserve">Innovation and renewal  </w:t>
      </w:r>
    </w:p>
    <w:p w14:paraId="16761691" w14:textId="77777777" w:rsidR="00276896" w:rsidRPr="00D8680B" w:rsidRDefault="00276896" w:rsidP="00276896">
      <w:pPr>
        <w:pStyle w:val="ListParagraph"/>
        <w:numPr>
          <w:ilvl w:val="0"/>
          <w:numId w:val="2"/>
        </w:numPr>
        <w:suppressAutoHyphens/>
        <w:autoSpaceDN w:val="0"/>
        <w:spacing w:after="160" w:line="249" w:lineRule="auto"/>
        <w:contextualSpacing w:val="0"/>
        <w:textAlignment w:val="baseline"/>
      </w:pPr>
      <w:r w:rsidRPr="00D8680B">
        <w:t xml:space="preserve">Reflection and development of own teaching (response to feedback) </w:t>
      </w:r>
    </w:p>
    <w:p w14:paraId="4B4C6B8D" w14:textId="77777777" w:rsidR="00276896" w:rsidRDefault="00276896" w:rsidP="00276896">
      <w:pPr>
        <w:rPr>
          <w:rFonts w:ascii="Calibri" w:eastAsia="Times New Roman" w:hAnsi="Calibri" w:cs="Times New Roman"/>
          <w:color w:val="000000"/>
        </w:rPr>
      </w:pPr>
      <w:r>
        <w:rPr>
          <w:rFonts w:ascii="Calibri" w:eastAsia="Times New Roman" w:hAnsi="Calibri" w:cs="Times New Roman"/>
          <w:color w:val="000000"/>
        </w:rPr>
        <w:br w:type="page"/>
      </w:r>
    </w:p>
    <w:p w14:paraId="4DC6E6E0" w14:textId="77777777" w:rsidR="00276896" w:rsidRPr="00152C9A" w:rsidRDefault="00276896" w:rsidP="00276896">
      <w:pPr>
        <w:rPr>
          <w:rFonts w:ascii="Calibri" w:eastAsia="Times New Roman" w:hAnsi="Calibri" w:cs="Times New Roman"/>
          <w:color w:val="000000"/>
        </w:rPr>
      </w:pPr>
    </w:p>
    <w:p w14:paraId="6293F35E" w14:textId="77777777" w:rsidR="00276896" w:rsidRDefault="00276896" w:rsidP="00276896">
      <w:r w:rsidRPr="00722311">
        <w:rPr>
          <w:u w:val="single"/>
        </w:rPr>
        <w:t>GKT School of Medicine Teaching Awards Nomination Form</w:t>
      </w:r>
    </w:p>
    <w:tbl>
      <w:tblPr>
        <w:tblStyle w:val="TableGrid"/>
        <w:tblpPr w:leftFromText="180" w:rightFromText="180" w:horzAnchor="margin" w:tblpY="651"/>
        <w:tblW w:w="0" w:type="auto"/>
        <w:tblLook w:val="04A0" w:firstRow="1" w:lastRow="0" w:firstColumn="1" w:lastColumn="0" w:noHBand="0" w:noVBand="1"/>
      </w:tblPr>
      <w:tblGrid>
        <w:gridCol w:w="4504"/>
        <w:gridCol w:w="4506"/>
      </w:tblGrid>
      <w:tr w:rsidR="00276896" w14:paraId="1697AE39" w14:textId="77777777" w:rsidTr="00C21561">
        <w:tc>
          <w:tcPr>
            <w:tcW w:w="4504" w:type="dxa"/>
          </w:tcPr>
          <w:p w14:paraId="60EC4EBD" w14:textId="77777777" w:rsidR="00276896" w:rsidRDefault="00276896" w:rsidP="00C21561">
            <w:pPr>
              <w:rPr>
                <w:b/>
              </w:rPr>
            </w:pPr>
            <w:r w:rsidRPr="004929A4">
              <w:rPr>
                <w:b/>
              </w:rPr>
              <w:t>Your Name &amp; Email Address</w:t>
            </w:r>
          </w:p>
          <w:p w14:paraId="64959095" w14:textId="77777777" w:rsidR="00276896" w:rsidRDefault="00276896" w:rsidP="00C21561">
            <w:pPr>
              <w:rPr>
                <w:b/>
              </w:rPr>
            </w:pPr>
          </w:p>
          <w:p w14:paraId="58D8A1DB" w14:textId="77777777" w:rsidR="00276896" w:rsidRPr="004929A4" w:rsidRDefault="00276896" w:rsidP="00C21561">
            <w:pPr>
              <w:rPr>
                <w:b/>
              </w:rPr>
            </w:pPr>
          </w:p>
        </w:tc>
        <w:tc>
          <w:tcPr>
            <w:tcW w:w="4506" w:type="dxa"/>
          </w:tcPr>
          <w:p w14:paraId="09C646D2" w14:textId="51A77D27" w:rsidR="00276896" w:rsidRDefault="00276896" w:rsidP="00C21561"/>
        </w:tc>
      </w:tr>
      <w:tr w:rsidR="00276896" w14:paraId="1CFC5F74" w14:textId="77777777" w:rsidTr="00C21561">
        <w:tc>
          <w:tcPr>
            <w:tcW w:w="4504" w:type="dxa"/>
          </w:tcPr>
          <w:p w14:paraId="54038291" w14:textId="77777777" w:rsidR="00276896" w:rsidRDefault="00276896" w:rsidP="00C21561">
            <w:pPr>
              <w:rPr>
                <w:b/>
              </w:rPr>
            </w:pPr>
            <w:r>
              <w:rPr>
                <w:b/>
              </w:rPr>
              <w:t>Name of the person or team you are nominating</w:t>
            </w:r>
          </w:p>
          <w:p w14:paraId="25B4E7EB" w14:textId="77777777" w:rsidR="00276896" w:rsidRPr="004929A4" w:rsidRDefault="00276896" w:rsidP="00C21561">
            <w:pPr>
              <w:rPr>
                <w:b/>
              </w:rPr>
            </w:pPr>
          </w:p>
        </w:tc>
        <w:tc>
          <w:tcPr>
            <w:tcW w:w="4506" w:type="dxa"/>
          </w:tcPr>
          <w:p w14:paraId="2831E3C9" w14:textId="21791F94" w:rsidR="00276896" w:rsidRDefault="00276896" w:rsidP="00C21561"/>
        </w:tc>
      </w:tr>
      <w:tr w:rsidR="00276896" w14:paraId="3954E77F" w14:textId="77777777" w:rsidTr="00C21561">
        <w:tc>
          <w:tcPr>
            <w:tcW w:w="4504" w:type="dxa"/>
          </w:tcPr>
          <w:p w14:paraId="18E698EB" w14:textId="77777777" w:rsidR="00276896" w:rsidRDefault="00276896" w:rsidP="00C21561">
            <w:pPr>
              <w:rPr>
                <w:b/>
              </w:rPr>
            </w:pPr>
            <w:r>
              <w:rPr>
                <w:b/>
              </w:rPr>
              <w:t>Email of the person or team you are nominating</w:t>
            </w:r>
          </w:p>
          <w:p w14:paraId="6185368D" w14:textId="77777777" w:rsidR="00276896" w:rsidRDefault="00276896" w:rsidP="00C21561">
            <w:pPr>
              <w:rPr>
                <w:b/>
              </w:rPr>
            </w:pPr>
          </w:p>
        </w:tc>
        <w:tc>
          <w:tcPr>
            <w:tcW w:w="4506" w:type="dxa"/>
          </w:tcPr>
          <w:p w14:paraId="4E8AAE7E" w14:textId="6E1CB865" w:rsidR="008D19B1" w:rsidRDefault="008D19B1" w:rsidP="00C21561"/>
        </w:tc>
      </w:tr>
      <w:tr w:rsidR="00276896" w14:paraId="14C1504C" w14:textId="77777777" w:rsidTr="00C21561">
        <w:tc>
          <w:tcPr>
            <w:tcW w:w="4504" w:type="dxa"/>
          </w:tcPr>
          <w:p w14:paraId="0941D72B" w14:textId="77777777" w:rsidR="00276896" w:rsidRDefault="00276896" w:rsidP="00C21561">
            <w:pPr>
              <w:rPr>
                <w:b/>
              </w:rPr>
            </w:pPr>
            <w:r>
              <w:rPr>
                <w:b/>
              </w:rPr>
              <w:t>Site where the nominee/s are based</w:t>
            </w:r>
          </w:p>
        </w:tc>
        <w:tc>
          <w:tcPr>
            <w:tcW w:w="4506" w:type="dxa"/>
          </w:tcPr>
          <w:p w14:paraId="3DE852E7" w14:textId="5EDADECB" w:rsidR="00276896" w:rsidRDefault="00276896" w:rsidP="00C21561"/>
        </w:tc>
      </w:tr>
      <w:tr w:rsidR="00276896" w14:paraId="43A42529" w14:textId="77777777" w:rsidTr="00C21561">
        <w:tc>
          <w:tcPr>
            <w:tcW w:w="4504" w:type="dxa"/>
          </w:tcPr>
          <w:p w14:paraId="5732280F" w14:textId="77777777" w:rsidR="00276896" w:rsidRDefault="00276896" w:rsidP="00C21561">
            <w:pPr>
              <w:rPr>
                <w:b/>
              </w:rPr>
            </w:pPr>
            <w:r w:rsidRPr="004929A4">
              <w:rPr>
                <w:b/>
              </w:rPr>
              <w:t>Teaching Award Being Nominated For</w:t>
            </w:r>
          </w:p>
          <w:p w14:paraId="3A37A6FC" w14:textId="381409C6" w:rsidR="00276896" w:rsidRPr="006814AC" w:rsidRDefault="00276896" w:rsidP="00C21561">
            <w:pPr>
              <w:rPr>
                <w:b/>
                <w:u w:val="single"/>
              </w:rPr>
            </w:pPr>
          </w:p>
        </w:tc>
        <w:tc>
          <w:tcPr>
            <w:tcW w:w="4506" w:type="dxa"/>
          </w:tcPr>
          <w:p w14:paraId="58BC1CA7" w14:textId="44646E2D" w:rsidR="00276896" w:rsidRDefault="00276896" w:rsidP="006A1424">
            <w:pPr>
              <w:pStyle w:val="ListParagraph"/>
              <w:ind w:left="360"/>
            </w:pPr>
          </w:p>
        </w:tc>
      </w:tr>
      <w:tr w:rsidR="00276896" w14:paraId="0ECA9103" w14:textId="77777777" w:rsidTr="00C21561">
        <w:tc>
          <w:tcPr>
            <w:tcW w:w="4504" w:type="dxa"/>
          </w:tcPr>
          <w:p w14:paraId="0B325E5B" w14:textId="77777777" w:rsidR="00276896" w:rsidRDefault="00276896" w:rsidP="00C21561">
            <w:r w:rsidRPr="004929A4">
              <w:rPr>
                <w:b/>
              </w:rPr>
              <w:t>Reason for nomination</w:t>
            </w:r>
            <w:r>
              <w:t xml:space="preserve">, including a description of the teaching that is being commended and explanation of why it is deserving of an award (“dedicated, hard-working or gets consistently good feedback” is not enough). </w:t>
            </w:r>
          </w:p>
          <w:p w14:paraId="265A6EF9" w14:textId="77777777" w:rsidR="00276896" w:rsidRDefault="00276896" w:rsidP="00C21561"/>
          <w:p w14:paraId="76601CD9" w14:textId="77777777" w:rsidR="00276896" w:rsidRDefault="00276896" w:rsidP="00C21561">
            <w:r>
              <w:t xml:space="preserve">The reason </w:t>
            </w:r>
            <w:r w:rsidRPr="000A5FFE">
              <w:rPr>
                <w:b/>
              </w:rPr>
              <w:t>must</w:t>
            </w:r>
            <w:r>
              <w:t xml:space="preserve"> include a comment on:</w:t>
            </w:r>
          </w:p>
          <w:p w14:paraId="603F9B3B" w14:textId="77777777" w:rsidR="00276896" w:rsidRDefault="00276896" w:rsidP="00276896">
            <w:pPr>
              <w:pStyle w:val="ListParagraph"/>
              <w:numPr>
                <w:ilvl w:val="0"/>
                <w:numId w:val="5"/>
              </w:numPr>
            </w:pPr>
            <w:r>
              <w:t xml:space="preserve">Sustainability, </w:t>
            </w:r>
            <w:proofErr w:type="gramStart"/>
            <w:r>
              <w:t>transfer</w:t>
            </w:r>
            <w:proofErr w:type="gramEnd"/>
            <w:r>
              <w:t xml:space="preserve"> and potential for expansion of the teaching</w:t>
            </w:r>
          </w:p>
          <w:p w14:paraId="0332FD94" w14:textId="77777777" w:rsidR="00276896" w:rsidRDefault="00276896" w:rsidP="00276896">
            <w:pPr>
              <w:pStyle w:val="ListParagraph"/>
              <w:numPr>
                <w:ilvl w:val="0"/>
                <w:numId w:val="5"/>
              </w:numPr>
            </w:pPr>
            <w:r>
              <w:t>Types of teaching</w:t>
            </w:r>
          </w:p>
          <w:p w14:paraId="5636D3C2" w14:textId="77777777" w:rsidR="00276896" w:rsidRPr="00294B4A" w:rsidRDefault="00276896" w:rsidP="00276896">
            <w:pPr>
              <w:pStyle w:val="ListParagraph"/>
              <w:numPr>
                <w:ilvl w:val="0"/>
                <w:numId w:val="5"/>
              </w:numPr>
            </w:pPr>
            <w:r>
              <w:t>Key activities to promote learning</w:t>
            </w:r>
          </w:p>
          <w:p w14:paraId="10668DC7" w14:textId="77777777" w:rsidR="00276896" w:rsidRPr="00294B4A" w:rsidRDefault="00276896" w:rsidP="00C21561"/>
        </w:tc>
        <w:tc>
          <w:tcPr>
            <w:tcW w:w="4506" w:type="dxa"/>
          </w:tcPr>
          <w:p w14:paraId="4959BCAC" w14:textId="77777777" w:rsidR="00276896" w:rsidRDefault="00276896" w:rsidP="00C21561"/>
          <w:p w14:paraId="0038FEC9" w14:textId="4F46BD8D" w:rsidR="007E3E6E" w:rsidRDefault="007E3E6E" w:rsidP="006A1424"/>
          <w:p w14:paraId="7DFE17C4" w14:textId="77777777" w:rsidR="00276896" w:rsidRDefault="00276896" w:rsidP="00C21561"/>
          <w:p w14:paraId="17E2C233" w14:textId="77777777" w:rsidR="00276896" w:rsidRDefault="00276896" w:rsidP="00C21561"/>
          <w:p w14:paraId="7140EC13" w14:textId="77777777" w:rsidR="00276896" w:rsidRDefault="00276896" w:rsidP="00C21561"/>
          <w:p w14:paraId="62AD9507" w14:textId="77777777" w:rsidR="00276896" w:rsidRDefault="00276896" w:rsidP="00C21561"/>
          <w:p w14:paraId="383B1EC3" w14:textId="77777777" w:rsidR="00276896" w:rsidRDefault="00276896" w:rsidP="00C21561"/>
          <w:p w14:paraId="4F17E3EC" w14:textId="77777777" w:rsidR="00276896" w:rsidRDefault="00276896" w:rsidP="00C21561"/>
          <w:p w14:paraId="628FC0B4" w14:textId="77777777" w:rsidR="00276896" w:rsidRDefault="00276896" w:rsidP="00C21561"/>
          <w:p w14:paraId="3FE0AFC7" w14:textId="77777777" w:rsidR="00276896" w:rsidRDefault="00276896" w:rsidP="00C21561"/>
          <w:p w14:paraId="29C43ED5" w14:textId="77777777" w:rsidR="00276896" w:rsidRDefault="00276896" w:rsidP="00C21561"/>
          <w:p w14:paraId="68AB4D8A" w14:textId="77777777" w:rsidR="00276896" w:rsidRDefault="00276896" w:rsidP="00C21561"/>
        </w:tc>
      </w:tr>
      <w:tr w:rsidR="00276896" w14:paraId="2D462581" w14:textId="77777777" w:rsidTr="00C21561">
        <w:tc>
          <w:tcPr>
            <w:tcW w:w="4504" w:type="dxa"/>
          </w:tcPr>
          <w:p w14:paraId="0C29C675" w14:textId="6A49F4BA" w:rsidR="00276896" w:rsidRPr="004929A4" w:rsidRDefault="00276896" w:rsidP="00C21561">
            <w:pPr>
              <w:rPr>
                <w:b/>
              </w:rPr>
            </w:pPr>
            <w:r>
              <w:rPr>
                <w:b/>
              </w:rPr>
              <w:t>Ratified Head of Stage</w:t>
            </w:r>
          </w:p>
        </w:tc>
        <w:tc>
          <w:tcPr>
            <w:tcW w:w="4506" w:type="dxa"/>
          </w:tcPr>
          <w:p w14:paraId="39AF29FB" w14:textId="77777777" w:rsidR="00276896" w:rsidRDefault="00276896" w:rsidP="00C21561"/>
          <w:p w14:paraId="0FEA53DC" w14:textId="77777777" w:rsidR="00276896" w:rsidRDefault="00276896" w:rsidP="00C21561"/>
          <w:p w14:paraId="2B9FD1F3" w14:textId="77777777" w:rsidR="00276896" w:rsidRDefault="00276896" w:rsidP="00C21561"/>
        </w:tc>
      </w:tr>
      <w:tr w:rsidR="00276896" w14:paraId="0D3A3C62" w14:textId="77777777" w:rsidTr="00C21561">
        <w:trPr>
          <w:trHeight w:val="855"/>
        </w:trPr>
        <w:tc>
          <w:tcPr>
            <w:tcW w:w="4504" w:type="dxa"/>
          </w:tcPr>
          <w:p w14:paraId="7719919D" w14:textId="77777777" w:rsidR="00276896" w:rsidRDefault="00276896" w:rsidP="00C21561">
            <w:pPr>
              <w:rPr>
                <w:b/>
              </w:rPr>
            </w:pPr>
            <w:r>
              <w:rPr>
                <w:b/>
              </w:rPr>
              <w:t>Faculty Development Subcommittee</w:t>
            </w:r>
          </w:p>
          <w:p w14:paraId="2AF42661" w14:textId="77777777" w:rsidR="00276896" w:rsidRDefault="00276896" w:rsidP="00C21561">
            <w:pPr>
              <w:rPr>
                <w:b/>
              </w:rPr>
            </w:pPr>
            <w:r>
              <w:rPr>
                <w:b/>
              </w:rPr>
              <w:t xml:space="preserve">Decision </w:t>
            </w:r>
          </w:p>
          <w:p w14:paraId="737111E8" w14:textId="77777777" w:rsidR="00276896" w:rsidRDefault="00276896" w:rsidP="00C21561">
            <w:pPr>
              <w:rPr>
                <w:b/>
              </w:rPr>
            </w:pPr>
          </w:p>
          <w:p w14:paraId="53C8D3BC" w14:textId="77777777" w:rsidR="00276896" w:rsidRPr="004929A4" w:rsidRDefault="00276896" w:rsidP="00C21561">
            <w:pPr>
              <w:rPr>
                <w:b/>
              </w:rPr>
            </w:pPr>
          </w:p>
        </w:tc>
        <w:tc>
          <w:tcPr>
            <w:tcW w:w="4506" w:type="dxa"/>
          </w:tcPr>
          <w:p w14:paraId="5A6FC736" w14:textId="77777777" w:rsidR="00276896" w:rsidRDefault="00276896" w:rsidP="00C21561"/>
        </w:tc>
      </w:tr>
    </w:tbl>
    <w:p w14:paraId="14CF9115" w14:textId="77777777" w:rsidR="00276896" w:rsidRDefault="00276896" w:rsidP="00276896"/>
    <w:p w14:paraId="79FD9C48" w14:textId="77777777" w:rsidR="00276896" w:rsidRDefault="00276896" w:rsidP="00276896"/>
    <w:p w14:paraId="11616534" w14:textId="77777777" w:rsidR="00276896" w:rsidRPr="00152C9A" w:rsidRDefault="00276896" w:rsidP="00276896">
      <w:pPr>
        <w:rPr>
          <w:rFonts w:ascii="Calibri" w:eastAsia="Times New Roman" w:hAnsi="Calibri" w:cs="Times New Roman"/>
          <w:color w:val="000000"/>
        </w:rPr>
      </w:pPr>
    </w:p>
    <w:p w14:paraId="607436DC" w14:textId="77777777" w:rsidR="00276896" w:rsidRDefault="00276896" w:rsidP="00276896">
      <w:pPr>
        <w:rPr>
          <w:b/>
          <w:lang w:val="en-GB"/>
        </w:rPr>
      </w:pPr>
    </w:p>
    <w:p w14:paraId="65696DE3" w14:textId="77777777" w:rsidR="00276896" w:rsidRPr="00170C77" w:rsidRDefault="00276896" w:rsidP="00276896">
      <w:pPr>
        <w:rPr>
          <w:b/>
          <w:lang w:val="en-GB"/>
        </w:rPr>
      </w:pPr>
    </w:p>
    <w:p w14:paraId="18A980BF" w14:textId="77777777" w:rsidR="00A85BC2" w:rsidRDefault="007575C2"/>
    <w:sectPr w:rsidR="00A85BC2" w:rsidSect="00BB495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63FC" w14:textId="77777777" w:rsidR="002E7A61" w:rsidRDefault="002E7A61" w:rsidP="00276896">
      <w:r>
        <w:separator/>
      </w:r>
    </w:p>
  </w:endnote>
  <w:endnote w:type="continuationSeparator" w:id="0">
    <w:p w14:paraId="0227E3E2" w14:textId="77777777" w:rsidR="002E7A61" w:rsidRDefault="002E7A61" w:rsidP="0027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4253" w14:textId="77777777" w:rsidR="002E7A61" w:rsidRDefault="002E7A61" w:rsidP="00276896">
      <w:r>
        <w:separator/>
      </w:r>
    </w:p>
  </w:footnote>
  <w:footnote w:type="continuationSeparator" w:id="0">
    <w:p w14:paraId="54A44A88" w14:textId="77777777" w:rsidR="002E7A61" w:rsidRDefault="002E7A61" w:rsidP="00276896">
      <w:r>
        <w:continuationSeparator/>
      </w:r>
    </w:p>
  </w:footnote>
  <w:footnote w:id="1">
    <w:p w14:paraId="10E7031B" w14:textId="77777777" w:rsidR="00276896" w:rsidRPr="006814AC" w:rsidRDefault="00276896" w:rsidP="00276896">
      <w:pPr>
        <w:pStyle w:val="FootnoteText"/>
        <w:rPr>
          <w:lang w:val="en-GB"/>
        </w:rPr>
      </w:pPr>
      <w:r>
        <w:rPr>
          <w:rStyle w:val="FootnoteReference"/>
        </w:rPr>
        <w:footnoteRef/>
      </w:r>
      <w:r>
        <w:t xml:space="preserve"> Teaching teams containing both junior and senior clinicians can be nominated for both junior and senior teaching awards</w:t>
      </w:r>
    </w:p>
  </w:footnote>
  <w:footnote w:id="2">
    <w:p w14:paraId="096EDB62" w14:textId="77777777" w:rsidR="00276896" w:rsidRPr="006814AC" w:rsidRDefault="00276896" w:rsidP="00276896">
      <w:pPr>
        <w:pStyle w:val="FootnoteText"/>
        <w:rPr>
          <w:lang w:val="en-GB"/>
        </w:rPr>
      </w:pPr>
      <w:r>
        <w:rPr>
          <w:rStyle w:val="FootnoteReference"/>
        </w:rPr>
        <w:footnoteRef/>
      </w:r>
      <w:r>
        <w:t xml:space="preserve"> As in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124"/>
    <w:multiLevelType w:val="hybridMultilevel"/>
    <w:tmpl w:val="D2F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9248E"/>
    <w:multiLevelType w:val="hybridMultilevel"/>
    <w:tmpl w:val="10EA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6306F"/>
    <w:multiLevelType w:val="hybridMultilevel"/>
    <w:tmpl w:val="3A78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DB5A12"/>
    <w:multiLevelType w:val="hybridMultilevel"/>
    <w:tmpl w:val="CA687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15339"/>
    <w:multiLevelType w:val="hybridMultilevel"/>
    <w:tmpl w:val="7E88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E64CE"/>
    <w:multiLevelType w:val="multilevel"/>
    <w:tmpl w:val="1B0297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3C92F30"/>
    <w:multiLevelType w:val="hybridMultilevel"/>
    <w:tmpl w:val="128288A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96"/>
    <w:rsid w:val="00016F6B"/>
    <w:rsid w:val="000C4079"/>
    <w:rsid w:val="00106B09"/>
    <w:rsid w:val="001371E1"/>
    <w:rsid w:val="00185B0A"/>
    <w:rsid w:val="00276896"/>
    <w:rsid w:val="002E2BBD"/>
    <w:rsid w:val="002E7A61"/>
    <w:rsid w:val="00306184"/>
    <w:rsid w:val="003161AF"/>
    <w:rsid w:val="003619B4"/>
    <w:rsid w:val="0036484B"/>
    <w:rsid w:val="00490D7D"/>
    <w:rsid w:val="005141C6"/>
    <w:rsid w:val="00523C9A"/>
    <w:rsid w:val="00572CD9"/>
    <w:rsid w:val="00582E60"/>
    <w:rsid w:val="0058424E"/>
    <w:rsid w:val="005B5E5A"/>
    <w:rsid w:val="005E3F60"/>
    <w:rsid w:val="005F7043"/>
    <w:rsid w:val="00622239"/>
    <w:rsid w:val="006A1424"/>
    <w:rsid w:val="006B0049"/>
    <w:rsid w:val="006C7E4B"/>
    <w:rsid w:val="006F703C"/>
    <w:rsid w:val="007575C2"/>
    <w:rsid w:val="00785477"/>
    <w:rsid w:val="007E3E6E"/>
    <w:rsid w:val="007E536F"/>
    <w:rsid w:val="00803783"/>
    <w:rsid w:val="008D19B1"/>
    <w:rsid w:val="008F1A6B"/>
    <w:rsid w:val="00985EA2"/>
    <w:rsid w:val="00986079"/>
    <w:rsid w:val="00995AEB"/>
    <w:rsid w:val="009D21E3"/>
    <w:rsid w:val="00B17C3B"/>
    <w:rsid w:val="00B45015"/>
    <w:rsid w:val="00B82DC6"/>
    <w:rsid w:val="00B97B1E"/>
    <w:rsid w:val="00BB4A6E"/>
    <w:rsid w:val="00C109B3"/>
    <w:rsid w:val="00C17D24"/>
    <w:rsid w:val="00C71BFF"/>
    <w:rsid w:val="00D47583"/>
    <w:rsid w:val="00D554C1"/>
    <w:rsid w:val="00E1657D"/>
    <w:rsid w:val="00E266FB"/>
    <w:rsid w:val="00E27721"/>
    <w:rsid w:val="00EA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BD23"/>
  <w15:chartTrackingRefBased/>
  <w15:docId w15:val="{7C449E52-D5A1-194C-AE32-56C3F503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96"/>
    <w:rPr>
      <w:lang w:val="en-US"/>
    </w:rPr>
  </w:style>
  <w:style w:type="paragraph" w:styleId="Heading1">
    <w:name w:val="heading 1"/>
    <w:basedOn w:val="Normal"/>
    <w:next w:val="Normal"/>
    <w:link w:val="Heading1Char"/>
    <w:uiPriority w:val="9"/>
    <w:qFormat/>
    <w:rsid w:val="00276896"/>
    <w:pPr>
      <w:keepNext/>
      <w:keepLines/>
      <w:spacing w:before="240"/>
      <w:outlineLvl w:val="0"/>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unhideWhenUsed/>
    <w:qFormat/>
    <w:rsid w:val="00276896"/>
    <w:pPr>
      <w:keepNext/>
      <w:keepLines/>
      <w:spacing w:before="40"/>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7689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76896"/>
    <w:pPr>
      <w:ind w:left="720"/>
      <w:contextualSpacing/>
    </w:pPr>
  </w:style>
  <w:style w:type="table" w:styleId="TableGrid">
    <w:name w:val="Table Grid"/>
    <w:basedOn w:val="TableNormal"/>
    <w:uiPriority w:val="39"/>
    <w:rsid w:val="002768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6896"/>
    <w:rPr>
      <w:sz w:val="20"/>
      <w:szCs w:val="20"/>
    </w:rPr>
  </w:style>
  <w:style w:type="character" w:customStyle="1" w:styleId="FootnoteTextChar">
    <w:name w:val="Footnote Text Char"/>
    <w:basedOn w:val="DefaultParagraphFont"/>
    <w:link w:val="FootnoteText"/>
    <w:uiPriority w:val="99"/>
    <w:semiHidden/>
    <w:rsid w:val="00276896"/>
    <w:rPr>
      <w:sz w:val="20"/>
      <w:szCs w:val="20"/>
      <w:lang w:val="en-US"/>
    </w:rPr>
  </w:style>
  <w:style w:type="character" w:styleId="FootnoteReference">
    <w:name w:val="footnote reference"/>
    <w:basedOn w:val="DefaultParagraphFont"/>
    <w:uiPriority w:val="99"/>
    <w:semiHidden/>
    <w:unhideWhenUsed/>
    <w:rsid w:val="0027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C081163D5454D90DE94393E0470B6" ma:contentTypeVersion="12" ma:contentTypeDescription="Create a new document." ma:contentTypeScope="" ma:versionID="4e8e022c56723ab05e3e1434b2a6b1ac">
  <xsd:schema xmlns:xsd="http://www.w3.org/2001/XMLSchema" xmlns:xs="http://www.w3.org/2001/XMLSchema" xmlns:p="http://schemas.microsoft.com/office/2006/metadata/properties" xmlns:ns2="f21804af-ae16-4e7b-bc6f-172e5ecfb1b8" xmlns:ns3="b8dd53d6-9810-4366-821e-081cffde87f1" targetNamespace="http://schemas.microsoft.com/office/2006/metadata/properties" ma:root="true" ma:fieldsID="279602e803b66f5563f8db12b7a0f8d7" ns2:_="" ns3:_="">
    <xsd:import namespace="f21804af-ae16-4e7b-bc6f-172e5ecfb1b8"/>
    <xsd:import namespace="b8dd53d6-9810-4366-821e-081cffde87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04af-ae16-4e7b-bc6f-172e5ecfb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dd53d6-9810-4366-821e-081cffde87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AF420-CCF1-4628-92C3-6CFB8F6024D2}">
  <ds:schemaRefs>
    <ds:schemaRef ds:uri="http://schemas.microsoft.com/sharepoint/v3/contenttype/forms"/>
  </ds:schemaRefs>
</ds:datastoreItem>
</file>

<file path=customXml/itemProps2.xml><?xml version="1.0" encoding="utf-8"?>
<ds:datastoreItem xmlns:ds="http://schemas.openxmlformats.org/officeDocument/2006/customXml" ds:itemID="{64CDE20A-6888-4D56-B810-5B855C24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04af-ae16-4e7b-bc6f-172e5ecfb1b8"/>
    <ds:schemaRef ds:uri="b8dd53d6-9810-4366-821e-081cffde8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69FF6-0FAC-4B1C-A134-49690D267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1572</Words>
  <Characters>8649</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Anna</dc:creator>
  <cp:keywords/>
  <dc:description/>
  <cp:lastModifiedBy>Gilles, Matthias</cp:lastModifiedBy>
  <cp:revision>7</cp:revision>
  <dcterms:created xsi:type="dcterms:W3CDTF">2021-07-13T10:55:00Z</dcterms:created>
  <dcterms:modified xsi:type="dcterms:W3CDTF">2022-04-08T08:00:00Z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0x01010051DC081163D5454D90DE94393E0470B6</vt:lpwstr>
  </property>
</Properties>
</file>