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6AA91" w14:textId="3D166B12" w:rsidR="007A3664" w:rsidRDefault="00946440">
      <w:pPr>
        <w:rPr>
          <w:rStyle w:val="eop"/>
          <w:rFonts w:ascii="KingsBureauGrot ThreeSeven" w:hAnsi="KingsBureauGrot ThreeSeven"/>
          <w:color w:val="000000"/>
          <w:sz w:val="60"/>
          <w:szCs w:val="60"/>
          <w:shd w:val="clear" w:color="auto" w:fill="FFFFFF"/>
        </w:rPr>
      </w:pPr>
      <w:r>
        <w:rPr>
          <w:rStyle w:val="normaltextrun"/>
          <w:rFonts w:ascii="KingsBureauGrot ThreeSeven" w:hAnsi="KingsBureauGrot ThreeSeven"/>
          <w:color w:val="000000"/>
          <w:sz w:val="60"/>
          <w:szCs w:val="60"/>
          <w:shd w:val="clear" w:color="auto" w:fill="FFFFFF"/>
        </w:rPr>
        <w:t>SSPP Global Visiting Fellowship Scheme Notes - 2022</w:t>
      </w:r>
      <w:r>
        <w:rPr>
          <w:rStyle w:val="eop"/>
          <w:rFonts w:ascii="KingsBureauGrot ThreeSeven" w:hAnsi="KingsBureauGrot ThreeSeven"/>
          <w:color w:val="000000"/>
          <w:sz w:val="60"/>
          <w:szCs w:val="60"/>
          <w:shd w:val="clear" w:color="auto" w:fill="FFFFFF"/>
        </w:rPr>
        <w:t> </w:t>
      </w:r>
    </w:p>
    <w:p w14:paraId="193EA199" w14:textId="77777777" w:rsidR="00946440" w:rsidRDefault="00946440"/>
    <w:p w14:paraId="70A434A6" w14:textId="51826FDB" w:rsidR="000823CB" w:rsidRDefault="00850A0B">
      <w:r w:rsidRPr="008D7114">
        <w:rPr>
          <w:b/>
          <w:bCs/>
        </w:rPr>
        <w:t>Eligibility</w:t>
      </w:r>
      <w:r>
        <w:t>:</w:t>
      </w:r>
      <w:r w:rsidR="003D3D1B">
        <w:br/>
      </w:r>
      <w:r w:rsidR="00007BF9">
        <w:t>The Global Visiting Fellowship scheme is open to mid</w:t>
      </w:r>
      <w:r w:rsidR="00EC0845">
        <w:t>-</w:t>
      </w:r>
      <w:r w:rsidR="00CB1A46">
        <w:t xml:space="preserve">career </w:t>
      </w:r>
      <w:r w:rsidR="00DD67ED">
        <w:t>(10 years</w:t>
      </w:r>
      <w:r w:rsidR="00717DD0">
        <w:t xml:space="preserve"> or more</w:t>
      </w:r>
      <w:r w:rsidR="00DD67ED">
        <w:t xml:space="preserve"> post PhD) </w:t>
      </w:r>
      <w:r w:rsidR="000A37B6">
        <w:t>DAC list</w:t>
      </w:r>
      <w:r w:rsidR="00210FC8">
        <w:t xml:space="preserve"> academics</w:t>
      </w:r>
      <w:r w:rsidR="000823CB">
        <w:t xml:space="preserve"> and educators.  </w:t>
      </w:r>
      <w:r w:rsidR="000A37B6">
        <w:t xml:space="preserve">Applicants are welcome from </w:t>
      </w:r>
      <w:r w:rsidR="002809E5">
        <w:t xml:space="preserve">countries </w:t>
      </w:r>
      <w:r w:rsidR="000823CB">
        <w:t xml:space="preserve">listed on </w:t>
      </w:r>
      <w:hyperlink r:id="rId5" w:history="1">
        <w:r w:rsidR="000823CB" w:rsidRPr="008D7114">
          <w:rPr>
            <w:rStyle w:val="Hyperlink"/>
          </w:rPr>
          <w:t>the DAC LMIC list</w:t>
        </w:r>
      </w:hyperlink>
      <w:r w:rsidR="000823CB">
        <w:t xml:space="preserve">, but if you need confirmation of your eligibility please liaise initially with your SSPP/KCL host </w:t>
      </w:r>
      <w:r w:rsidR="00994346">
        <w:t xml:space="preserve">or the Faculty Research Team </w:t>
      </w:r>
      <w:r w:rsidR="000823CB">
        <w:t xml:space="preserve"> </w:t>
      </w:r>
      <w:hyperlink r:id="rId6" w:history="1">
        <w:r w:rsidR="000823CB" w:rsidRPr="00C70F16">
          <w:rPr>
            <w:rStyle w:val="Hyperlink"/>
          </w:rPr>
          <w:t>SSPP-Global@kcl.ac.uk</w:t>
        </w:r>
      </w:hyperlink>
      <w:r w:rsidR="000823CB">
        <w:t xml:space="preserve"> </w:t>
      </w:r>
    </w:p>
    <w:p w14:paraId="6ED6C02A" w14:textId="77777777" w:rsidR="000823CB" w:rsidRDefault="000823CB"/>
    <w:p w14:paraId="0F1DCDA7" w14:textId="0AEAECEA" w:rsidR="008D7114" w:rsidRDefault="008D7114">
      <w:r w:rsidRPr="00F202C4">
        <w:rPr>
          <w:b/>
          <w:bCs/>
        </w:rPr>
        <w:t>Deadline</w:t>
      </w:r>
      <w:r>
        <w:t>:</w:t>
      </w:r>
      <w:r w:rsidR="00EF10EB">
        <w:br/>
      </w:r>
      <w:r>
        <w:t xml:space="preserve">The deadline for the first call of </w:t>
      </w:r>
      <w:r w:rsidR="004018A3">
        <w:t xml:space="preserve">Fellowships </w:t>
      </w:r>
      <w:r w:rsidR="00994346">
        <w:t xml:space="preserve">is </w:t>
      </w:r>
      <w:r w:rsidR="008203E3">
        <w:t>17:00 on Friday 15</w:t>
      </w:r>
      <w:r w:rsidR="00994346">
        <w:t>/0</w:t>
      </w:r>
      <w:r w:rsidR="008203E3">
        <w:t>7</w:t>
      </w:r>
      <w:r w:rsidR="004018A3">
        <w:t>/2022.  We will not accept</w:t>
      </w:r>
      <w:r w:rsidR="00994346">
        <w:t xml:space="preserve"> incomplete or</w:t>
      </w:r>
      <w:r w:rsidR="004018A3">
        <w:t xml:space="preserve"> late applications or </w:t>
      </w:r>
      <w:r w:rsidR="007A3664">
        <w:t>references</w:t>
      </w:r>
      <w:r w:rsidR="00F236DA">
        <w:t>.</w:t>
      </w:r>
    </w:p>
    <w:p w14:paraId="351A89A5" w14:textId="0A2AE6AA" w:rsidR="00F236DA" w:rsidRDefault="00F236DA"/>
    <w:p w14:paraId="2ADFAFEC" w14:textId="3C8C4AAC" w:rsidR="002C46EF" w:rsidRPr="000E3A72" w:rsidRDefault="002C46EF">
      <w:pPr>
        <w:rPr>
          <w:b/>
          <w:bCs/>
        </w:rPr>
      </w:pPr>
      <w:r w:rsidRPr="000E3A72">
        <w:rPr>
          <w:b/>
          <w:bCs/>
        </w:rPr>
        <w:t>Timeline:</w:t>
      </w:r>
    </w:p>
    <w:p w14:paraId="3975A7B4" w14:textId="3DC59A65" w:rsidR="002C46EF" w:rsidRDefault="002C46EF">
      <w:proofErr w:type="gramStart"/>
      <w:r w:rsidRPr="000E3A72">
        <w:rPr>
          <w:b/>
          <w:bCs/>
        </w:rPr>
        <w:t>Deadline :</w:t>
      </w:r>
      <w:proofErr w:type="gramEnd"/>
      <w:r>
        <w:t xml:space="preserve"> 15/07/22</w:t>
      </w:r>
      <w:r w:rsidR="000E3A72">
        <w:br/>
      </w:r>
      <w:r w:rsidRPr="000E3A72">
        <w:rPr>
          <w:b/>
          <w:bCs/>
        </w:rPr>
        <w:t xml:space="preserve">Assessment </w:t>
      </w:r>
      <w:r w:rsidR="00FD1B83">
        <w:rPr>
          <w:b/>
          <w:bCs/>
        </w:rPr>
        <w:t xml:space="preserve">panel </w:t>
      </w:r>
      <w:r w:rsidRPr="000E3A72">
        <w:rPr>
          <w:b/>
          <w:bCs/>
        </w:rPr>
        <w:t>and outcomes:</w:t>
      </w:r>
      <w:r>
        <w:t xml:space="preserve"> early September 2022</w:t>
      </w:r>
      <w:r w:rsidR="000E3A72">
        <w:br/>
      </w:r>
      <w:r w:rsidR="000E3A72" w:rsidRPr="000E3A72">
        <w:rPr>
          <w:b/>
          <w:bCs/>
        </w:rPr>
        <w:t>Earliest visits:</w:t>
      </w:r>
      <w:r w:rsidR="000E3A72">
        <w:t xml:space="preserve"> January 2023</w:t>
      </w:r>
    </w:p>
    <w:p w14:paraId="62BC09BE" w14:textId="77777777" w:rsidR="000E3A72" w:rsidRDefault="000E3A72"/>
    <w:p w14:paraId="00F994D8" w14:textId="4AA8D26F" w:rsidR="00F236DA" w:rsidRDefault="00F236DA">
      <w:r w:rsidRPr="00F202C4">
        <w:rPr>
          <w:b/>
          <w:bCs/>
        </w:rPr>
        <w:t>Duration</w:t>
      </w:r>
      <w:r>
        <w:t>:</w:t>
      </w:r>
      <w:r w:rsidR="00EF10EB">
        <w:br/>
      </w:r>
      <w:r w:rsidR="00994346">
        <w:t>V</w:t>
      </w:r>
      <w:r>
        <w:t xml:space="preserve">isits </w:t>
      </w:r>
      <w:r w:rsidR="00994346">
        <w:t>can be between o</w:t>
      </w:r>
      <w:r>
        <w:t xml:space="preserve">ne and four months.  </w:t>
      </w:r>
    </w:p>
    <w:p w14:paraId="2E3352CC" w14:textId="77777777" w:rsidR="009350FF" w:rsidRDefault="009350FF"/>
    <w:p w14:paraId="1FC50972" w14:textId="78E05063" w:rsidR="000823CB" w:rsidRDefault="008B5C11">
      <w:r w:rsidRPr="006A73B9">
        <w:rPr>
          <w:b/>
          <w:bCs/>
        </w:rPr>
        <w:t>Funding</w:t>
      </w:r>
      <w:r>
        <w:t>:</w:t>
      </w:r>
      <w:r>
        <w:br/>
        <w:t xml:space="preserve">Funding is awarded </w:t>
      </w:r>
      <w:r w:rsidR="005922C9">
        <w:t xml:space="preserve">as </w:t>
      </w:r>
      <w:r>
        <w:t>a maintenance award. You will not be employed by KCL during your visit</w:t>
      </w:r>
      <w:r w:rsidR="00C500F2">
        <w:t>. I</w:t>
      </w:r>
      <w:r w:rsidR="005922C9">
        <w:t>nstead</w:t>
      </w:r>
      <w:r w:rsidR="00C500F2">
        <w:t xml:space="preserve">, </w:t>
      </w:r>
      <w:r>
        <w:t xml:space="preserve">funds will be paid monthly to your bank account </w:t>
      </w:r>
      <w:r w:rsidR="005922C9">
        <w:t>to cover</w:t>
      </w:r>
      <w:r w:rsidR="00CA0F8F">
        <w:t xml:space="preserve"> living </w:t>
      </w:r>
      <w:r w:rsidR="005922C9">
        <w:t>costs</w:t>
      </w:r>
      <w:r w:rsidR="00CA0F8F">
        <w:t xml:space="preserve"> whilst in London</w:t>
      </w:r>
      <w:r w:rsidR="005922C9">
        <w:t>.</w:t>
      </w:r>
      <w:r w:rsidR="006A73B9">
        <w:t xml:space="preserve"> </w:t>
      </w:r>
    </w:p>
    <w:p w14:paraId="74A7E1AB" w14:textId="77777777" w:rsidR="006A73B9" w:rsidRDefault="006A73B9"/>
    <w:p w14:paraId="4733ABB9" w14:textId="31B88243" w:rsidR="002809E5" w:rsidRDefault="002809E5" w:rsidP="00750146">
      <w:pPr>
        <w:pStyle w:val="xmsonormal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Funding can be used </w:t>
      </w:r>
      <w:r w:rsidR="00C51DE1">
        <w:rPr>
          <w:rFonts w:asciiTheme="minorHAnsi" w:hAnsiTheme="minorHAnsi" w:cstheme="minorHAnsi"/>
          <w:color w:val="000000"/>
          <w:sz w:val="22"/>
          <w:szCs w:val="22"/>
          <w:lang w:val="en-US"/>
        </w:rPr>
        <w:t>to cover</w:t>
      </w:r>
      <w:r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: </w:t>
      </w:r>
    </w:p>
    <w:p w14:paraId="1FC7A68A" w14:textId="53BD9CCC" w:rsidR="002809E5" w:rsidRDefault="002809E5" w:rsidP="00EF10EB">
      <w:pPr>
        <w:pStyle w:val="xmsonormal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en-US"/>
        </w:rPr>
        <w:t>Accommodation costs</w:t>
      </w:r>
    </w:p>
    <w:p w14:paraId="5B326438" w14:textId="6E47D44A" w:rsidR="00C51DE1" w:rsidRDefault="00F161BC" w:rsidP="00EF10EB">
      <w:pPr>
        <w:pStyle w:val="xmsonormal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en-US"/>
        </w:rPr>
        <w:t>M</w:t>
      </w:r>
      <w:r w:rsidR="00C51DE1">
        <w:rPr>
          <w:rFonts w:asciiTheme="minorHAnsi" w:hAnsiTheme="minorHAnsi" w:cstheme="minorHAnsi"/>
          <w:color w:val="000000"/>
          <w:sz w:val="22"/>
          <w:szCs w:val="22"/>
          <w:lang w:val="en-US"/>
        </w:rPr>
        <w:t>aintenance costs (travel, food, incidentals)</w:t>
      </w:r>
    </w:p>
    <w:p w14:paraId="4388ED0F" w14:textId="47AA423C" w:rsidR="00C51DE1" w:rsidRDefault="00C51DE1" w:rsidP="00EF10EB">
      <w:pPr>
        <w:pStyle w:val="xmsonormal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Research </w:t>
      </w:r>
      <w:r w:rsidR="00C500F2">
        <w:rPr>
          <w:rFonts w:asciiTheme="minorHAnsi" w:hAnsiTheme="minorHAnsi" w:cstheme="minorHAnsi"/>
          <w:color w:val="000000"/>
          <w:sz w:val="22"/>
          <w:szCs w:val="22"/>
          <w:lang w:val="en-US"/>
        </w:rPr>
        <w:t>c</w:t>
      </w:r>
      <w:r>
        <w:rPr>
          <w:rFonts w:asciiTheme="minorHAnsi" w:hAnsiTheme="minorHAnsi" w:cstheme="minorHAnsi"/>
          <w:color w:val="000000"/>
          <w:sz w:val="22"/>
          <w:szCs w:val="22"/>
          <w:lang w:val="en-US"/>
        </w:rPr>
        <w:t>osts</w:t>
      </w:r>
    </w:p>
    <w:p w14:paraId="3A58155F" w14:textId="7D6C1FD7" w:rsidR="002809E5" w:rsidRPr="00750146" w:rsidRDefault="00C51DE1" w:rsidP="00EF10EB">
      <w:pPr>
        <w:pStyle w:val="xmsonormal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Economy </w:t>
      </w:r>
      <w:proofErr w:type="gramStart"/>
      <w:r>
        <w:rPr>
          <w:rFonts w:asciiTheme="minorHAnsi" w:hAnsiTheme="minorHAnsi" w:cstheme="minorHAnsi"/>
          <w:color w:val="000000"/>
          <w:sz w:val="22"/>
          <w:szCs w:val="22"/>
          <w:lang w:val="en-US"/>
        </w:rPr>
        <w:t>return</w:t>
      </w:r>
      <w:proofErr w:type="gramEnd"/>
      <w:r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air travel to London.  </w:t>
      </w:r>
      <w:r w:rsidR="002809E5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</w:t>
      </w:r>
    </w:p>
    <w:p w14:paraId="4A03F03C" w14:textId="77777777" w:rsidR="00750146" w:rsidRDefault="00750146" w:rsidP="00750146">
      <w:pPr>
        <w:pStyle w:val="xmsonormal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</w:p>
    <w:tbl>
      <w:tblPr>
        <w:tblW w:w="7088" w:type="dxa"/>
        <w:tblInd w:w="-284" w:type="dxa"/>
        <w:tblLook w:val="04A0" w:firstRow="1" w:lastRow="0" w:firstColumn="1" w:lastColumn="0" w:noHBand="0" w:noVBand="1"/>
      </w:tblPr>
      <w:tblGrid>
        <w:gridCol w:w="2858"/>
        <w:gridCol w:w="1020"/>
        <w:gridCol w:w="1020"/>
        <w:gridCol w:w="2190"/>
      </w:tblGrid>
      <w:tr w:rsidR="00750146" w14:paraId="10B1CF41" w14:textId="77777777" w:rsidTr="00D9757F">
        <w:trPr>
          <w:trHeight w:val="293"/>
        </w:trPr>
        <w:tc>
          <w:tcPr>
            <w:tcW w:w="285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E7E6E6"/>
            <w:noWrap/>
            <w:vAlign w:val="bottom"/>
            <w:hideMark/>
          </w:tcPr>
          <w:p w14:paraId="142415F3" w14:textId="0F26E1C6" w:rsidR="00750146" w:rsidRDefault="00750146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E7E6E6"/>
            <w:noWrap/>
            <w:vAlign w:val="bottom"/>
            <w:hideMark/>
          </w:tcPr>
          <w:p w14:paraId="476AD12F" w14:textId="77777777" w:rsidR="00750146" w:rsidRDefault="00750146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E7E6E6"/>
            <w:noWrap/>
            <w:vAlign w:val="bottom"/>
          </w:tcPr>
          <w:p w14:paraId="67E7E3F8" w14:textId="77777777" w:rsidR="00750146" w:rsidRDefault="00750146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E7E6E6"/>
            <w:noWrap/>
            <w:vAlign w:val="bottom"/>
            <w:hideMark/>
          </w:tcPr>
          <w:p w14:paraId="46219083" w14:textId="76EE93B0" w:rsidR="00750146" w:rsidRDefault="00D9757F" w:rsidP="00D9757F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Per calendar month</w:t>
            </w:r>
          </w:p>
        </w:tc>
      </w:tr>
      <w:tr w:rsidR="00750146" w14:paraId="027D6613" w14:textId="77777777" w:rsidTr="00D9757F">
        <w:trPr>
          <w:trHeight w:val="293"/>
        </w:trPr>
        <w:tc>
          <w:tcPr>
            <w:tcW w:w="2858" w:type="dxa"/>
            <w:noWrap/>
            <w:vAlign w:val="bottom"/>
            <w:hideMark/>
          </w:tcPr>
          <w:p w14:paraId="1068A60A" w14:textId="77777777" w:rsidR="00750146" w:rsidRDefault="00750146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Accommodation</w:t>
            </w:r>
          </w:p>
        </w:tc>
        <w:tc>
          <w:tcPr>
            <w:tcW w:w="1020" w:type="dxa"/>
            <w:noWrap/>
            <w:vAlign w:val="bottom"/>
          </w:tcPr>
          <w:p w14:paraId="19B694AB" w14:textId="77777777" w:rsidR="00750146" w:rsidRDefault="00750146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20" w:type="dxa"/>
            <w:tcBorders>
              <w:right w:val="single" w:sz="4" w:space="0" w:color="auto"/>
            </w:tcBorders>
            <w:noWrap/>
            <w:vAlign w:val="bottom"/>
          </w:tcPr>
          <w:p w14:paraId="0C721F18" w14:textId="77777777" w:rsidR="00750146" w:rsidRDefault="00750146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190" w:type="dxa"/>
            <w:tcBorders>
              <w:left w:val="single" w:sz="4" w:space="0" w:color="auto"/>
            </w:tcBorders>
            <w:noWrap/>
            <w:vAlign w:val="bottom"/>
            <w:hideMark/>
          </w:tcPr>
          <w:p w14:paraId="111F8D53" w14:textId="77777777" w:rsidR="00750146" w:rsidRDefault="00750146" w:rsidP="00D9757F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£1,500</w:t>
            </w:r>
          </w:p>
        </w:tc>
      </w:tr>
      <w:tr w:rsidR="00750146" w14:paraId="72A4DCB3" w14:textId="77777777" w:rsidTr="00D9757F">
        <w:trPr>
          <w:trHeight w:val="285"/>
        </w:trPr>
        <w:tc>
          <w:tcPr>
            <w:tcW w:w="2858" w:type="dxa"/>
            <w:noWrap/>
            <w:vAlign w:val="bottom"/>
            <w:hideMark/>
          </w:tcPr>
          <w:p w14:paraId="1FC18DDE" w14:textId="54A80282" w:rsidR="00750146" w:rsidRDefault="00F161B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Airfare</w:t>
            </w:r>
          </w:p>
        </w:tc>
        <w:tc>
          <w:tcPr>
            <w:tcW w:w="1020" w:type="dxa"/>
            <w:noWrap/>
            <w:vAlign w:val="bottom"/>
          </w:tcPr>
          <w:p w14:paraId="5F6C4282" w14:textId="77777777" w:rsidR="00750146" w:rsidRDefault="00750146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20" w:type="dxa"/>
            <w:tcBorders>
              <w:right w:val="single" w:sz="4" w:space="0" w:color="auto"/>
            </w:tcBorders>
            <w:noWrap/>
            <w:vAlign w:val="bottom"/>
          </w:tcPr>
          <w:p w14:paraId="5740634C" w14:textId="77777777" w:rsidR="00750146" w:rsidRDefault="00750146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190" w:type="dxa"/>
            <w:tcBorders>
              <w:left w:val="single" w:sz="4" w:space="0" w:color="auto"/>
            </w:tcBorders>
            <w:noWrap/>
            <w:vAlign w:val="bottom"/>
            <w:hideMark/>
          </w:tcPr>
          <w:p w14:paraId="5C2E2DEE" w14:textId="77777777" w:rsidR="00750146" w:rsidRDefault="00750146" w:rsidP="00D9757F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£800</w:t>
            </w:r>
          </w:p>
        </w:tc>
      </w:tr>
      <w:tr w:rsidR="00750146" w14:paraId="4D3DEA71" w14:textId="77777777" w:rsidTr="00D9757F">
        <w:trPr>
          <w:trHeight w:val="285"/>
        </w:trPr>
        <w:tc>
          <w:tcPr>
            <w:tcW w:w="2858" w:type="dxa"/>
            <w:noWrap/>
            <w:vAlign w:val="bottom"/>
            <w:hideMark/>
          </w:tcPr>
          <w:p w14:paraId="39B3A5AE" w14:textId="77777777" w:rsidR="00750146" w:rsidRDefault="00750146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Maintenance/research costs</w:t>
            </w:r>
          </w:p>
        </w:tc>
        <w:tc>
          <w:tcPr>
            <w:tcW w:w="1020" w:type="dxa"/>
            <w:noWrap/>
            <w:vAlign w:val="bottom"/>
          </w:tcPr>
          <w:p w14:paraId="3BE7D85B" w14:textId="77777777" w:rsidR="00750146" w:rsidRDefault="00750146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20" w:type="dxa"/>
            <w:tcBorders>
              <w:right w:val="single" w:sz="4" w:space="0" w:color="auto"/>
            </w:tcBorders>
            <w:noWrap/>
            <w:vAlign w:val="bottom"/>
          </w:tcPr>
          <w:p w14:paraId="4863F439" w14:textId="77777777" w:rsidR="00750146" w:rsidRDefault="00750146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190" w:type="dxa"/>
            <w:tcBorders>
              <w:left w:val="single" w:sz="4" w:space="0" w:color="auto"/>
            </w:tcBorders>
            <w:noWrap/>
            <w:vAlign w:val="bottom"/>
            <w:hideMark/>
          </w:tcPr>
          <w:p w14:paraId="3D9D0E64" w14:textId="77777777" w:rsidR="00750146" w:rsidRDefault="00750146" w:rsidP="00D9757F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£2,000</w:t>
            </w:r>
          </w:p>
        </w:tc>
      </w:tr>
      <w:tr w:rsidR="00750146" w14:paraId="6B4675A0" w14:textId="77777777" w:rsidTr="00D9757F">
        <w:trPr>
          <w:trHeight w:val="285"/>
        </w:trPr>
        <w:tc>
          <w:tcPr>
            <w:tcW w:w="2858" w:type="dxa"/>
            <w:noWrap/>
            <w:vAlign w:val="bottom"/>
            <w:hideMark/>
          </w:tcPr>
          <w:p w14:paraId="667CB878" w14:textId="77777777" w:rsidR="00750146" w:rsidRDefault="0075014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0" w:type="dxa"/>
            <w:noWrap/>
            <w:vAlign w:val="bottom"/>
            <w:hideMark/>
          </w:tcPr>
          <w:p w14:paraId="59BDC4A9" w14:textId="77777777" w:rsidR="00750146" w:rsidRDefault="00750146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1020" w:type="dxa"/>
            <w:tcBorders>
              <w:right w:val="single" w:sz="4" w:space="0" w:color="auto"/>
            </w:tcBorders>
            <w:noWrap/>
            <w:vAlign w:val="bottom"/>
            <w:hideMark/>
          </w:tcPr>
          <w:p w14:paraId="602E64E7" w14:textId="77777777" w:rsidR="00750146" w:rsidRDefault="00750146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2190" w:type="dxa"/>
            <w:tcBorders>
              <w:left w:val="single" w:sz="4" w:space="0" w:color="auto"/>
            </w:tcBorders>
            <w:noWrap/>
            <w:vAlign w:val="bottom"/>
            <w:hideMark/>
          </w:tcPr>
          <w:p w14:paraId="6EE1E621" w14:textId="77777777" w:rsidR="00750146" w:rsidRDefault="00750146" w:rsidP="00D9757F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</w:tr>
      <w:tr w:rsidR="00750146" w14:paraId="3653833F" w14:textId="77777777" w:rsidTr="00D9757F">
        <w:trPr>
          <w:trHeight w:val="285"/>
        </w:trPr>
        <w:tc>
          <w:tcPr>
            <w:tcW w:w="2858" w:type="dxa"/>
            <w:noWrap/>
            <w:vAlign w:val="bottom"/>
            <w:hideMark/>
          </w:tcPr>
          <w:p w14:paraId="091B5BDC" w14:textId="77777777" w:rsidR="00750146" w:rsidRDefault="00750146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 month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award</w:t>
            </w:r>
          </w:p>
        </w:tc>
        <w:tc>
          <w:tcPr>
            <w:tcW w:w="1020" w:type="dxa"/>
            <w:noWrap/>
            <w:vAlign w:val="bottom"/>
            <w:hideMark/>
          </w:tcPr>
          <w:p w14:paraId="799FCD93" w14:textId="77777777" w:rsidR="00750146" w:rsidRDefault="00750146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20" w:type="dxa"/>
            <w:tcBorders>
              <w:right w:val="single" w:sz="4" w:space="0" w:color="auto"/>
            </w:tcBorders>
            <w:noWrap/>
            <w:vAlign w:val="bottom"/>
            <w:hideMark/>
          </w:tcPr>
          <w:p w14:paraId="029E8BA0" w14:textId="77777777" w:rsidR="00750146" w:rsidRDefault="00750146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2190" w:type="dxa"/>
            <w:tcBorders>
              <w:left w:val="single" w:sz="4" w:space="0" w:color="auto"/>
            </w:tcBorders>
            <w:noWrap/>
            <w:vAlign w:val="bottom"/>
            <w:hideMark/>
          </w:tcPr>
          <w:p w14:paraId="175F191F" w14:textId="77777777" w:rsidR="00750146" w:rsidRDefault="00750146" w:rsidP="00D9757F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£14,800</w:t>
            </w:r>
          </w:p>
        </w:tc>
      </w:tr>
      <w:tr w:rsidR="00750146" w14:paraId="1E2CA169" w14:textId="77777777" w:rsidTr="00D9757F">
        <w:trPr>
          <w:trHeight w:val="285"/>
        </w:trPr>
        <w:tc>
          <w:tcPr>
            <w:tcW w:w="2858" w:type="dxa"/>
            <w:noWrap/>
            <w:vAlign w:val="bottom"/>
            <w:hideMark/>
          </w:tcPr>
          <w:p w14:paraId="3CDECF38" w14:textId="77777777" w:rsidR="00750146" w:rsidRDefault="00750146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 month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award</w:t>
            </w:r>
          </w:p>
        </w:tc>
        <w:tc>
          <w:tcPr>
            <w:tcW w:w="1020" w:type="dxa"/>
            <w:noWrap/>
            <w:vAlign w:val="bottom"/>
            <w:hideMark/>
          </w:tcPr>
          <w:p w14:paraId="4AC06E2F" w14:textId="77777777" w:rsidR="00750146" w:rsidRDefault="00750146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20" w:type="dxa"/>
            <w:tcBorders>
              <w:right w:val="single" w:sz="4" w:space="0" w:color="auto"/>
            </w:tcBorders>
            <w:noWrap/>
            <w:vAlign w:val="bottom"/>
            <w:hideMark/>
          </w:tcPr>
          <w:p w14:paraId="534FEEEB" w14:textId="77777777" w:rsidR="00750146" w:rsidRDefault="00750146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2190" w:type="dxa"/>
            <w:tcBorders>
              <w:left w:val="single" w:sz="4" w:space="0" w:color="auto"/>
            </w:tcBorders>
            <w:noWrap/>
            <w:vAlign w:val="bottom"/>
            <w:hideMark/>
          </w:tcPr>
          <w:p w14:paraId="3C8D9226" w14:textId="77777777" w:rsidR="00750146" w:rsidRDefault="00750146" w:rsidP="00D9757F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£11,300</w:t>
            </w:r>
          </w:p>
        </w:tc>
      </w:tr>
      <w:tr w:rsidR="00750146" w14:paraId="0C6792F2" w14:textId="77777777" w:rsidTr="00D9757F">
        <w:trPr>
          <w:trHeight w:val="285"/>
        </w:trPr>
        <w:tc>
          <w:tcPr>
            <w:tcW w:w="2858" w:type="dxa"/>
            <w:noWrap/>
            <w:vAlign w:val="bottom"/>
            <w:hideMark/>
          </w:tcPr>
          <w:p w14:paraId="3138F84F" w14:textId="77777777" w:rsidR="00750146" w:rsidRDefault="00750146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 month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award</w:t>
            </w:r>
          </w:p>
        </w:tc>
        <w:tc>
          <w:tcPr>
            <w:tcW w:w="1020" w:type="dxa"/>
            <w:noWrap/>
            <w:vAlign w:val="bottom"/>
            <w:hideMark/>
          </w:tcPr>
          <w:p w14:paraId="719ACD42" w14:textId="77777777" w:rsidR="00750146" w:rsidRDefault="00750146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20" w:type="dxa"/>
            <w:tcBorders>
              <w:right w:val="single" w:sz="4" w:space="0" w:color="auto"/>
            </w:tcBorders>
            <w:noWrap/>
            <w:vAlign w:val="bottom"/>
            <w:hideMark/>
          </w:tcPr>
          <w:p w14:paraId="5AC13FA8" w14:textId="77777777" w:rsidR="00750146" w:rsidRDefault="00750146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2190" w:type="dxa"/>
            <w:tcBorders>
              <w:left w:val="single" w:sz="4" w:space="0" w:color="auto"/>
            </w:tcBorders>
            <w:noWrap/>
            <w:vAlign w:val="bottom"/>
            <w:hideMark/>
          </w:tcPr>
          <w:p w14:paraId="42B3F26A" w14:textId="77777777" w:rsidR="00750146" w:rsidRDefault="00750146" w:rsidP="00D9757F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£7,800</w:t>
            </w:r>
          </w:p>
        </w:tc>
      </w:tr>
    </w:tbl>
    <w:p w14:paraId="7C7CF77F" w14:textId="77777777" w:rsidR="00750146" w:rsidRDefault="00750146" w:rsidP="00750146">
      <w:pPr>
        <w:pStyle w:val="xmsonormal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</w:p>
    <w:p w14:paraId="612FBC12" w14:textId="4EE81E40" w:rsidR="00750146" w:rsidRDefault="00750146" w:rsidP="00750146">
      <w:pPr>
        <w:pStyle w:val="xmsonormal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>Maximum total amount requested - £15</w:t>
      </w:r>
      <w:r w:rsidR="005D3F4B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>,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 xml:space="preserve">000 per person </w:t>
      </w:r>
    </w:p>
    <w:p w14:paraId="2D8ABC2C" w14:textId="0C28381B" w:rsidR="00750146" w:rsidRDefault="00750146"/>
    <w:p w14:paraId="7DFD0898" w14:textId="69BBD3F5" w:rsidR="00750146" w:rsidRDefault="00750146">
      <w:r w:rsidRPr="003E7959">
        <w:rPr>
          <w:b/>
          <w:bCs/>
        </w:rPr>
        <w:t>Start date/end date</w:t>
      </w:r>
      <w:r>
        <w:t xml:space="preserve">:  Projects can last between 1 and 4 months and the start date must be agreed with the SSPP KCL host and head of department.  </w:t>
      </w:r>
      <w:r w:rsidR="003E7959">
        <w:t xml:space="preserve">Visits must be scheduled for at </w:t>
      </w:r>
      <w:r w:rsidR="003E7959" w:rsidRPr="00985066">
        <w:rPr>
          <w:u w:val="single"/>
        </w:rPr>
        <w:t>least</w:t>
      </w:r>
      <w:r w:rsidR="003E7959">
        <w:t xml:space="preserve"> </w:t>
      </w:r>
      <w:r w:rsidR="005632E1">
        <w:t>6</w:t>
      </w:r>
      <w:r w:rsidR="00142632">
        <w:t xml:space="preserve"> </w:t>
      </w:r>
      <w:r w:rsidR="003E7959">
        <w:t>months from the submission deadline</w:t>
      </w:r>
      <w:r w:rsidR="00985066">
        <w:t xml:space="preserve">, this is primarily due to the time it takes to </w:t>
      </w:r>
      <w:r w:rsidR="0088414F">
        <w:t>apply for a visa.</w:t>
      </w:r>
      <w:r w:rsidR="003E7959">
        <w:t xml:space="preserve">  For example, for a deadline of </w:t>
      </w:r>
      <w:r w:rsidR="00142632">
        <w:t>15/07</w:t>
      </w:r>
      <w:r w:rsidR="003E7959">
        <w:t xml:space="preserve">/22 the earliest the project can start is </w:t>
      </w:r>
      <w:r w:rsidR="00142632">
        <w:t>January 2023</w:t>
      </w:r>
      <w:r w:rsidR="00C500F2">
        <w:t>.</w:t>
      </w:r>
    </w:p>
    <w:p w14:paraId="0858372D" w14:textId="3B4978E3" w:rsidR="00BB3BD3" w:rsidRDefault="00BB3BD3"/>
    <w:p w14:paraId="7B78BF30" w14:textId="140A0691" w:rsidR="003E7959" w:rsidRDefault="003E7959">
      <w:r w:rsidRPr="003E7959">
        <w:rPr>
          <w:b/>
          <w:bCs/>
        </w:rPr>
        <w:t>SSPP host details</w:t>
      </w:r>
      <w:r>
        <w:t xml:space="preserve">: </w:t>
      </w:r>
      <w:r w:rsidR="003D3D1B">
        <w:br/>
      </w:r>
      <w:r w:rsidR="00971199">
        <w:t>I</w:t>
      </w:r>
      <w:r>
        <w:t>nput the contact and department details for your SSPP KCL host academic</w:t>
      </w:r>
      <w:r w:rsidR="0088414F">
        <w:t>(s)</w:t>
      </w:r>
      <w:r>
        <w:t>.</w:t>
      </w:r>
    </w:p>
    <w:p w14:paraId="34FAD549" w14:textId="77777777" w:rsidR="00B50286" w:rsidRDefault="00B50286"/>
    <w:p w14:paraId="5853A464" w14:textId="5FAAB2A1" w:rsidR="003E7959" w:rsidRDefault="003E7959">
      <w:r w:rsidRPr="003E7959">
        <w:rPr>
          <w:b/>
          <w:bCs/>
        </w:rPr>
        <w:t>Global fellow details</w:t>
      </w:r>
      <w:r>
        <w:t xml:space="preserve">: </w:t>
      </w:r>
      <w:r w:rsidR="003D3D1B">
        <w:br/>
      </w:r>
      <w:r w:rsidR="00971199">
        <w:t>I</w:t>
      </w:r>
      <w:r>
        <w:t>nput your contact and home institution details.</w:t>
      </w:r>
    </w:p>
    <w:p w14:paraId="2C4C6CD9" w14:textId="77777777" w:rsidR="00B50286" w:rsidRDefault="00B50286"/>
    <w:p w14:paraId="0A3DC433" w14:textId="3293AF0B" w:rsidR="003E7959" w:rsidRDefault="00782B0F">
      <w:r w:rsidRPr="00782B0F">
        <w:rPr>
          <w:b/>
          <w:bCs/>
        </w:rPr>
        <w:t>Publications list</w:t>
      </w:r>
      <w:r>
        <w:t xml:space="preserve">: </w:t>
      </w:r>
      <w:r w:rsidR="003D3D1B">
        <w:br/>
      </w:r>
      <w:r w:rsidR="00971199">
        <w:t>L</w:t>
      </w:r>
      <w:r>
        <w:t>i</w:t>
      </w:r>
      <w:r w:rsidR="00971199">
        <w:t>s</w:t>
      </w:r>
      <w:r>
        <w:t>t your top 1</w:t>
      </w:r>
      <w:r w:rsidR="00B50286">
        <w:t>0</w:t>
      </w:r>
      <w:r>
        <w:t xml:space="preserve"> relevant publications or outputs and attach a two-page CV with your application.</w:t>
      </w:r>
    </w:p>
    <w:p w14:paraId="7228C3E4" w14:textId="77777777" w:rsidR="00B50286" w:rsidRDefault="00B50286"/>
    <w:p w14:paraId="4093D1FE" w14:textId="0D86A1D4" w:rsidR="00C500F2" w:rsidRPr="00C500F2" w:rsidRDefault="00545A71" w:rsidP="00C500F2">
      <w:pPr>
        <w:rPr>
          <w:b/>
          <w:bCs/>
        </w:rPr>
      </w:pPr>
      <w:r w:rsidRPr="00545A71">
        <w:rPr>
          <w:b/>
          <w:bCs/>
        </w:rPr>
        <w:t>Reference</w:t>
      </w:r>
      <w:r w:rsidR="00C500F2" w:rsidRPr="00C500F2">
        <w:rPr>
          <w:b/>
          <w:bCs/>
        </w:rPr>
        <w:t>/letter of support</w:t>
      </w:r>
    </w:p>
    <w:p w14:paraId="2F7A0209" w14:textId="3B79E8C3" w:rsidR="00B50286" w:rsidRDefault="00C500F2">
      <w:r>
        <w:t xml:space="preserve">Please provide a </w:t>
      </w:r>
      <w:r>
        <w:t xml:space="preserve">one-page </w:t>
      </w:r>
      <w:r>
        <w:t>home</w:t>
      </w:r>
      <w:r>
        <w:t xml:space="preserve"> </w:t>
      </w:r>
      <w:r>
        <w:t>institution letter of support.  The letter needs to include your proposed visit dates, project title and employment status.</w:t>
      </w:r>
      <w:r>
        <w:t xml:space="preserve"> Please</w:t>
      </w:r>
      <w:r w:rsidR="001B7ED6">
        <w:t xml:space="preserve"> email </w:t>
      </w:r>
      <w:r w:rsidR="00545A71">
        <w:t>directly to the SSPP Global Fellowship inbox</w:t>
      </w:r>
      <w:r w:rsidR="00AD13E2">
        <w:t xml:space="preserve">.  This must be received by the call deadline. </w:t>
      </w:r>
      <w:r w:rsidR="00545A71">
        <w:t xml:space="preserve">  Please ensure the</w:t>
      </w:r>
      <w:r w:rsidR="00B91096">
        <w:t xml:space="preserve"> email</w:t>
      </w:r>
      <w:r w:rsidR="00545A71">
        <w:t xml:space="preserve"> subject line is your name.  </w:t>
      </w:r>
      <w:r w:rsidR="00966B8C">
        <w:t>Late references</w:t>
      </w:r>
      <w:r>
        <w:t xml:space="preserve">/letters of support </w:t>
      </w:r>
      <w:r w:rsidR="00966B8C">
        <w:t>will not be accepted</w:t>
      </w:r>
      <w:r>
        <w:t>. P</w:t>
      </w:r>
      <w:r w:rsidR="00966B8C">
        <w:t>lease ensure that you request them in plenty of time.</w:t>
      </w:r>
    </w:p>
    <w:p w14:paraId="54C0BFD6" w14:textId="77777777" w:rsidR="000357FE" w:rsidRDefault="000357FE"/>
    <w:p w14:paraId="7EFA386F" w14:textId="644DDE3C" w:rsidR="000357FE" w:rsidRDefault="005246F3">
      <w:pPr>
        <w:rPr>
          <w:rStyle w:val="eop"/>
          <w:rFonts w:ascii="Calibri" w:hAnsi="Calibri" w:cs="Calibri"/>
          <w:color w:val="000000"/>
          <w:shd w:val="clear" w:color="auto" w:fill="FFFFFF"/>
        </w:rPr>
      </w:pPr>
      <w:r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SSPP department(s) that you will work with</w:t>
      </w:r>
      <w:r w:rsidR="005848C5">
        <w:rPr>
          <w:rStyle w:val="eop"/>
          <w:rFonts w:ascii="Calibri" w:hAnsi="Calibri" w:cs="Calibri"/>
          <w:color w:val="000000"/>
          <w:shd w:val="clear" w:color="auto" w:fill="FFFFFF"/>
        </w:rPr>
        <w:t xml:space="preserve">: </w:t>
      </w:r>
      <w:r w:rsidR="003D3D1B">
        <w:rPr>
          <w:rStyle w:val="eop"/>
          <w:rFonts w:ascii="Calibri" w:hAnsi="Calibri" w:cs="Calibri"/>
          <w:color w:val="000000"/>
          <w:shd w:val="clear" w:color="auto" w:fill="FFFFFF"/>
        </w:rPr>
        <w:br/>
      </w:r>
      <w:r w:rsidR="00971199">
        <w:rPr>
          <w:rStyle w:val="eop"/>
          <w:rFonts w:ascii="Calibri" w:hAnsi="Calibri" w:cs="Calibri"/>
          <w:color w:val="000000"/>
          <w:shd w:val="clear" w:color="auto" w:fill="FFFFFF"/>
        </w:rPr>
        <w:t>P</w:t>
      </w:r>
      <w:r w:rsidR="005848C5">
        <w:rPr>
          <w:rStyle w:val="eop"/>
          <w:rFonts w:ascii="Calibri" w:hAnsi="Calibri" w:cs="Calibri"/>
          <w:color w:val="000000"/>
          <w:shd w:val="clear" w:color="auto" w:fill="FFFFFF"/>
        </w:rPr>
        <w:t xml:space="preserve">lease name the </w:t>
      </w:r>
      <w:hyperlink r:id="rId7" w:history="1">
        <w:r w:rsidR="005848C5" w:rsidRPr="002A520D">
          <w:rPr>
            <w:rStyle w:val="Hyperlink"/>
            <w:rFonts w:ascii="Calibri" w:hAnsi="Calibri" w:cs="Calibri"/>
            <w:shd w:val="clear" w:color="auto" w:fill="FFFFFF"/>
          </w:rPr>
          <w:t>SSPP department(s)</w:t>
        </w:r>
      </w:hyperlink>
      <w:r w:rsidR="005848C5">
        <w:rPr>
          <w:rStyle w:val="eop"/>
          <w:rFonts w:ascii="Calibri" w:hAnsi="Calibri" w:cs="Calibri"/>
          <w:color w:val="000000"/>
          <w:shd w:val="clear" w:color="auto" w:fill="FFFFFF"/>
        </w:rPr>
        <w:t xml:space="preserve"> that </w:t>
      </w:r>
      <w:proofErr w:type="gramStart"/>
      <w:r w:rsidR="005848C5">
        <w:rPr>
          <w:rStyle w:val="eop"/>
          <w:rFonts w:ascii="Calibri" w:hAnsi="Calibri" w:cs="Calibri"/>
          <w:color w:val="000000"/>
          <w:shd w:val="clear" w:color="auto" w:fill="FFFFFF"/>
        </w:rPr>
        <w:t>you’d</w:t>
      </w:r>
      <w:proofErr w:type="gramEnd"/>
      <w:r w:rsidR="005848C5">
        <w:rPr>
          <w:rStyle w:val="eop"/>
          <w:rFonts w:ascii="Calibri" w:hAnsi="Calibri" w:cs="Calibri"/>
          <w:color w:val="000000"/>
          <w:shd w:val="clear" w:color="auto" w:fill="FFFFFF"/>
        </w:rPr>
        <w:t xml:space="preserve"> like to work with.  </w:t>
      </w:r>
    </w:p>
    <w:p w14:paraId="081E12F3" w14:textId="3C0BBCF1" w:rsidR="00545A71" w:rsidRDefault="00545A71"/>
    <w:p w14:paraId="068420EC" w14:textId="77777777" w:rsidR="003E7959" w:rsidRDefault="003E7959"/>
    <w:sectPr w:rsidR="003E79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ngsBureauGrot ThreeSeven">
    <w:panose1 w:val="02000506050000020004"/>
    <w:charset w:val="00"/>
    <w:family w:val="auto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B4152"/>
    <w:multiLevelType w:val="hybridMultilevel"/>
    <w:tmpl w:val="520ABE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3E6549"/>
    <w:multiLevelType w:val="hybridMultilevel"/>
    <w:tmpl w:val="E9645E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3108467">
    <w:abstractNumId w:val="0"/>
  </w:num>
  <w:num w:numId="2" w16cid:durableId="660503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146"/>
    <w:rsid w:val="00007BF9"/>
    <w:rsid w:val="00021FF3"/>
    <w:rsid w:val="000357FE"/>
    <w:rsid w:val="000823CB"/>
    <w:rsid w:val="000A37B6"/>
    <w:rsid w:val="000E3A72"/>
    <w:rsid w:val="00142632"/>
    <w:rsid w:val="001B7ED6"/>
    <w:rsid w:val="00210FC8"/>
    <w:rsid w:val="00214C92"/>
    <w:rsid w:val="002809E5"/>
    <w:rsid w:val="002A520D"/>
    <w:rsid w:val="002C46EF"/>
    <w:rsid w:val="002D677C"/>
    <w:rsid w:val="00346CE1"/>
    <w:rsid w:val="00350322"/>
    <w:rsid w:val="0035285E"/>
    <w:rsid w:val="00374ABC"/>
    <w:rsid w:val="003D3D1B"/>
    <w:rsid w:val="003E7959"/>
    <w:rsid w:val="003F1A40"/>
    <w:rsid w:val="003F2FC1"/>
    <w:rsid w:val="004018A3"/>
    <w:rsid w:val="00410A34"/>
    <w:rsid w:val="005246F3"/>
    <w:rsid w:val="00545A71"/>
    <w:rsid w:val="005632E1"/>
    <w:rsid w:val="005848C5"/>
    <w:rsid w:val="005922C9"/>
    <w:rsid w:val="005D3F4B"/>
    <w:rsid w:val="006049AA"/>
    <w:rsid w:val="006A73B9"/>
    <w:rsid w:val="006B4D37"/>
    <w:rsid w:val="00717DD0"/>
    <w:rsid w:val="00750146"/>
    <w:rsid w:val="00782B0F"/>
    <w:rsid w:val="00792018"/>
    <w:rsid w:val="007A3664"/>
    <w:rsid w:val="007A48A9"/>
    <w:rsid w:val="007C0F8C"/>
    <w:rsid w:val="007C2BE7"/>
    <w:rsid w:val="007D5C5E"/>
    <w:rsid w:val="008138AB"/>
    <w:rsid w:val="008203E3"/>
    <w:rsid w:val="00840B5A"/>
    <w:rsid w:val="00850A0B"/>
    <w:rsid w:val="00856071"/>
    <w:rsid w:val="0088414F"/>
    <w:rsid w:val="00894B74"/>
    <w:rsid w:val="008B5C11"/>
    <w:rsid w:val="008C6505"/>
    <w:rsid w:val="008D7114"/>
    <w:rsid w:val="009350FF"/>
    <w:rsid w:val="009377BF"/>
    <w:rsid w:val="00946440"/>
    <w:rsid w:val="00966B8C"/>
    <w:rsid w:val="00971199"/>
    <w:rsid w:val="00985066"/>
    <w:rsid w:val="00994346"/>
    <w:rsid w:val="00AB1081"/>
    <w:rsid w:val="00AC1421"/>
    <w:rsid w:val="00AD13E2"/>
    <w:rsid w:val="00B50286"/>
    <w:rsid w:val="00B91096"/>
    <w:rsid w:val="00BA094D"/>
    <w:rsid w:val="00BB3BD3"/>
    <w:rsid w:val="00C21712"/>
    <w:rsid w:val="00C500F2"/>
    <w:rsid w:val="00C5067F"/>
    <w:rsid w:val="00C51DE1"/>
    <w:rsid w:val="00CA0F8F"/>
    <w:rsid w:val="00CA7A05"/>
    <w:rsid w:val="00CB1A46"/>
    <w:rsid w:val="00CD77A7"/>
    <w:rsid w:val="00D218B5"/>
    <w:rsid w:val="00D24F56"/>
    <w:rsid w:val="00D9757F"/>
    <w:rsid w:val="00D97C18"/>
    <w:rsid w:val="00DD67ED"/>
    <w:rsid w:val="00E54784"/>
    <w:rsid w:val="00E65F47"/>
    <w:rsid w:val="00EC0845"/>
    <w:rsid w:val="00EC20E8"/>
    <w:rsid w:val="00EF10EB"/>
    <w:rsid w:val="00F161BC"/>
    <w:rsid w:val="00F202C4"/>
    <w:rsid w:val="00F21EBB"/>
    <w:rsid w:val="00F236DA"/>
    <w:rsid w:val="00FD1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0AF38"/>
  <w15:chartTrackingRefBased/>
  <w15:docId w15:val="{B4FDB67C-3194-4B27-8C1B-AF8E335DA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ablecaption">
    <w:name w:val="Table caption_"/>
    <w:basedOn w:val="DefaultParagraphFont"/>
    <w:link w:val="Tablecaption0"/>
    <w:rsid w:val="00750146"/>
    <w:rPr>
      <w:rFonts w:ascii="Arial" w:eastAsia="Arial" w:hAnsi="Arial" w:cs="Arial"/>
      <w:b/>
      <w:bCs/>
      <w:color w:val="EBEBEB"/>
      <w:sz w:val="20"/>
      <w:szCs w:val="20"/>
    </w:rPr>
  </w:style>
  <w:style w:type="paragraph" w:customStyle="1" w:styleId="Tablecaption0">
    <w:name w:val="Table caption"/>
    <w:basedOn w:val="Normal"/>
    <w:link w:val="Tablecaption"/>
    <w:rsid w:val="00750146"/>
    <w:pPr>
      <w:widowControl w:val="0"/>
      <w:spacing w:after="0" w:line="240" w:lineRule="auto"/>
    </w:pPr>
    <w:rPr>
      <w:rFonts w:ascii="Arial" w:eastAsia="Arial" w:hAnsi="Arial" w:cs="Arial"/>
      <w:b/>
      <w:bCs/>
      <w:color w:val="EBEBEB"/>
      <w:sz w:val="20"/>
      <w:szCs w:val="20"/>
    </w:rPr>
  </w:style>
  <w:style w:type="paragraph" w:customStyle="1" w:styleId="xmsonormal">
    <w:name w:val="xmsonormal"/>
    <w:basedOn w:val="Normal"/>
    <w:rsid w:val="00750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DefaultParagraphFont"/>
    <w:rsid w:val="005246F3"/>
  </w:style>
  <w:style w:type="character" w:customStyle="1" w:styleId="eop">
    <w:name w:val="eop"/>
    <w:basedOn w:val="DefaultParagraphFont"/>
    <w:rsid w:val="005246F3"/>
  </w:style>
  <w:style w:type="character" w:styleId="Hyperlink">
    <w:name w:val="Hyperlink"/>
    <w:basedOn w:val="DefaultParagraphFont"/>
    <w:uiPriority w:val="99"/>
    <w:unhideWhenUsed/>
    <w:rsid w:val="002A52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520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809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09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09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09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09E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kcl.ac.uk/ssp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SPP-Global@kcl.ac.uk" TargetMode="External"/><Relationship Id="rId5" Type="http://schemas.openxmlformats.org/officeDocument/2006/relationships/hyperlink" Target="https://www.oecd.org/dac/financing-sustainable-development/development-finance-standards/DAC-List-of-ODA-Recipients-for-reporting-2020-flows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Wylde, Lyanne</dc:creator>
  <cp:keywords/>
  <dc:description/>
  <cp:lastModifiedBy>McIlwaine, Cathy</cp:lastModifiedBy>
  <cp:revision>3</cp:revision>
  <dcterms:created xsi:type="dcterms:W3CDTF">2022-05-18T16:02:00Z</dcterms:created>
  <dcterms:modified xsi:type="dcterms:W3CDTF">2022-05-18T16:06:00Z</dcterms:modified>
</cp:coreProperties>
</file>